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3F320">
      <w:pPr>
        <w:ind w:firstLine="210" w:firstLineChars="100"/>
        <w:jc w:val="right"/>
        <w:rPr>
          <w:rFonts w:ascii="Times New Roman" w:hAnsi="Times New Roman"/>
          <w:b/>
          <w:bCs/>
          <w:sz w:val="52"/>
        </w:rPr>
      </w:pPr>
      <w:r>
        <w:rPr>
          <w:rFonts w:ascii="Times New Roman" w:hAnsi="Times New Roman"/>
        </w:rPr>
        <w:drawing>
          <wp:inline distT="0" distB="0" distL="114300" distR="114300">
            <wp:extent cx="2038350" cy="790575"/>
            <wp:effectExtent l="0" t="0" r="3810" b="1905"/>
            <wp:docPr id="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黑体" w:eastAsia="黑体"/>
          <w:sz w:val="84"/>
          <w:szCs w:val="84"/>
        </w:rPr>
        <w:t>(皖)</w:t>
      </w:r>
    </w:p>
    <w:p w14:paraId="420C5817">
      <w:pPr>
        <w:jc w:val="center"/>
        <w:rPr>
          <w:rFonts w:ascii="Times New Roman" w:hAnsi="Times New Roman" w:eastAsia="华文中宋"/>
          <w:b/>
          <w:sz w:val="52"/>
          <w:szCs w:val="52"/>
        </w:rPr>
      </w:pPr>
      <w:r>
        <w:rPr>
          <w:rFonts w:hint="eastAsia" w:ascii="Times New Roman" w:hAnsi="Times New Roman" w:eastAsia="华文中宋"/>
          <w:b/>
          <w:bCs/>
          <w:sz w:val="52"/>
          <w:szCs w:val="52"/>
        </w:rPr>
        <w:t>安徽省地方计量技术规范</w:t>
      </w:r>
    </w:p>
    <w:p w14:paraId="2A99CD14">
      <w:pPr>
        <w:wordWrap w:val="0"/>
        <w:ind w:right="840"/>
        <w:jc w:val="right"/>
        <w:rPr>
          <w:rFonts w:ascii="黑体" w:hAnsi="黑体" w:eastAsia="黑体"/>
          <w:bCs/>
          <w:sz w:val="28"/>
          <w:szCs w:val="28"/>
        </w:rPr>
      </w:pPr>
      <w:r>
        <w:rPr>
          <w:rFonts w:ascii="黑体" w:hAnsi="黑体" w:eastAsia="黑体"/>
          <w:bCs/>
          <w:sz w:val="28"/>
          <w:szCs w:val="28"/>
        </w:rPr>
        <w:t>JJF</w:t>
      </w:r>
      <w:r>
        <w:rPr>
          <w:rFonts w:hint="eastAsia" w:ascii="黑体" w:hAnsi="黑体" w:eastAsia="黑体"/>
          <w:sz w:val="28"/>
          <w:szCs w:val="28"/>
        </w:rPr>
        <w:t>（皖）</w:t>
      </w:r>
      <w:r>
        <w:rPr>
          <w:rFonts w:hint="eastAsia" w:ascii="黑体" w:hAnsi="黑体" w:eastAsia="黑体"/>
          <w:bCs/>
          <w:sz w:val="28"/>
          <w:szCs w:val="28"/>
        </w:rPr>
        <w:t>X</w:t>
      </w:r>
      <w:r>
        <w:rPr>
          <w:rFonts w:hint="eastAsia" w:ascii="黑体" w:hAnsi="黑体" w:eastAsia="黑体"/>
          <w:sz w:val="28"/>
          <w:szCs w:val="28"/>
        </w:rPr>
        <w:t>XX</w:t>
      </w:r>
      <w:r>
        <w:rPr>
          <w:rFonts w:hint="eastAsia" w:ascii="黑体" w:hAnsi="黑体" w:eastAsia="黑体"/>
          <w:bCs/>
          <w:sz w:val="28"/>
          <w:szCs w:val="28"/>
        </w:rPr>
        <w:t>X</w:t>
      </w:r>
      <w:r>
        <w:rPr>
          <w:rFonts w:ascii="黑体" w:hAnsi="黑体" w:eastAsia="黑体"/>
          <w:bCs/>
          <w:sz w:val="28"/>
        </w:rPr>
        <w:t>-</w:t>
      </w:r>
      <w:r>
        <w:rPr>
          <w:rFonts w:ascii="黑体" w:hAnsi="黑体" w:eastAsia="黑体"/>
          <w:bCs/>
          <w:sz w:val="28"/>
          <w:szCs w:val="28"/>
        </w:rPr>
        <w:t>XXXX</w:t>
      </w:r>
    </w:p>
    <w:p w14:paraId="55F7EA54">
      <w:pPr>
        <w:jc w:val="center"/>
        <w:rPr>
          <w:rFonts w:ascii="Times New Roman" w:hAnsi="Times New Roman" w:eastAsia="黑体"/>
          <w:b/>
          <w:sz w:val="52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-171450</wp:posOffset>
                </wp:positionH>
                <wp:positionV relativeFrom="paragraph">
                  <wp:posOffset>98425</wp:posOffset>
                </wp:positionV>
                <wp:extent cx="5939790" cy="0"/>
                <wp:effectExtent l="0" t="0" r="0" b="0"/>
                <wp:wrapNone/>
                <wp:docPr id="19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979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13.5pt;margin-top:7.75pt;height:0pt;width:467.7pt;z-index:251660288;mso-width-relative:page;mso-height-relative:page;" filled="f" stroked="t" coordsize="21600,21600" o:gfxdata="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OM6do7WAAAACQEAAA8A&#10;AAAAAAAAAQAgAAAAIgAAAGRycy9kb3ducmV2LnhtbFBLAQIUABQAAAAIAIdO4kCOPIwE4AEAANAD&#10;AAAOAAAAAAAAAAEAIAAAACU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65757B27">
      <w:pPr>
        <w:jc w:val="center"/>
        <w:rPr>
          <w:rFonts w:ascii="Times New Roman" w:hAnsi="Times New Roman" w:eastAsia="黑体"/>
          <w:b/>
          <w:sz w:val="52"/>
        </w:rPr>
      </w:pPr>
    </w:p>
    <w:p w14:paraId="2225F026">
      <w:pPr>
        <w:jc w:val="center"/>
        <w:rPr>
          <w:rFonts w:ascii="Times New Roman" w:hAnsi="Times New Roman" w:eastAsia="黑体"/>
          <w:b/>
          <w:sz w:val="52"/>
        </w:rPr>
      </w:pPr>
    </w:p>
    <w:p w14:paraId="06B5C2E0">
      <w:pPr>
        <w:jc w:val="center"/>
        <w:rPr>
          <w:rFonts w:ascii="黑体" w:hAnsi="黑体" w:eastAsia="黑体" w:cs="黑体"/>
          <w:kern w:val="0"/>
          <w:sz w:val="52"/>
          <w:szCs w:val="52"/>
        </w:rPr>
      </w:pPr>
      <w:r>
        <w:rPr>
          <w:rFonts w:hint="eastAsia" w:ascii="黑体" w:hAnsi="黑体" w:eastAsia="黑体" w:cs="黑体"/>
          <w:kern w:val="0"/>
          <w:sz w:val="52"/>
          <w:szCs w:val="52"/>
        </w:rPr>
        <w:t>氟化物水质自动分析仪校准规范</w:t>
      </w:r>
    </w:p>
    <w:p w14:paraId="0BE1407B"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 xml:space="preserve">Calibration </w:t>
      </w:r>
      <w:r>
        <w:rPr>
          <w:rFonts w:hint="eastAsia" w:ascii="黑体" w:hAnsi="黑体" w:eastAsia="黑体"/>
          <w:sz w:val="28"/>
          <w:szCs w:val="28"/>
        </w:rPr>
        <w:t>s</w:t>
      </w:r>
      <w:r>
        <w:rPr>
          <w:rFonts w:ascii="黑体" w:hAnsi="黑体" w:eastAsia="黑体"/>
          <w:sz w:val="28"/>
          <w:szCs w:val="28"/>
        </w:rPr>
        <w:t xml:space="preserve">pecification for </w:t>
      </w:r>
      <w:r>
        <w:rPr>
          <w:rFonts w:hint="eastAsia" w:ascii="黑体" w:hAnsi="黑体" w:eastAsia="黑体"/>
          <w:sz w:val="28"/>
          <w:szCs w:val="28"/>
        </w:rPr>
        <w:t>a</w:t>
      </w:r>
      <w:r>
        <w:rPr>
          <w:rFonts w:ascii="黑体" w:hAnsi="黑体" w:eastAsia="黑体"/>
          <w:sz w:val="28"/>
          <w:szCs w:val="28"/>
        </w:rPr>
        <w:t>utomatic</w:t>
      </w:r>
      <w:r>
        <w:rPr>
          <w:rFonts w:hint="eastAsia" w:ascii="黑体" w:hAnsi="黑体" w:eastAsia="黑体"/>
          <w:sz w:val="28"/>
          <w:szCs w:val="28"/>
        </w:rPr>
        <w:t xml:space="preserve"> f</w:t>
      </w:r>
      <w:r>
        <w:rPr>
          <w:rFonts w:ascii="黑体" w:hAnsi="黑体" w:eastAsia="黑体"/>
          <w:sz w:val="28"/>
          <w:szCs w:val="28"/>
        </w:rPr>
        <w:t xml:space="preserve">luoride </w:t>
      </w:r>
      <w:r>
        <w:rPr>
          <w:rFonts w:hint="eastAsia" w:ascii="黑体" w:hAnsi="黑体" w:eastAsia="黑体"/>
          <w:sz w:val="28"/>
          <w:szCs w:val="28"/>
        </w:rPr>
        <w:t>w</w:t>
      </w:r>
      <w:r>
        <w:rPr>
          <w:rFonts w:ascii="黑体" w:hAnsi="黑体" w:eastAsia="黑体"/>
          <w:sz w:val="28"/>
          <w:szCs w:val="28"/>
        </w:rPr>
        <w:t>ater Quality Analyzer</w:t>
      </w:r>
    </w:p>
    <w:p w14:paraId="3C25AEE8">
      <w:pPr>
        <w:jc w:val="center"/>
        <w:rPr>
          <w:rFonts w:ascii="黑体" w:hAnsi="黑体" w:eastAsia="黑体" w:cs="黑体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（报批稿）</w:t>
      </w:r>
    </w:p>
    <w:p w14:paraId="37CFB74B">
      <w:pPr>
        <w:rPr>
          <w:rFonts w:ascii="Times New Roman" w:hAnsi="Times New Roman"/>
          <w:szCs w:val="20"/>
        </w:rPr>
      </w:pPr>
    </w:p>
    <w:p w14:paraId="22C3E84C">
      <w:pPr>
        <w:spacing w:line="360" w:lineRule="auto"/>
        <w:rPr>
          <w:rFonts w:ascii="Times New Roman" w:hAnsi="Times New Roman"/>
          <w:szCs w:val="20"/>
        </w:rPr>
      </w:pPr>
    </w:p>
    <w:p w14:paraId="07CC95E8">
      <w:pPr>
        <w:spacing w:line="360" w:lineRule="auto"/>
        <w:rPr>
          <w:rFonts w:ascii="Times New Roman" w:hAnsi="Times New Roman"/>
          <w:szCs w:val="20"/>
        </w:rPr>
      </w:pPr>
    </w:p>
    <w:p w14:paraId="20E67AA5">
      <w:pPr>
        <w:rPr>
          <w:rFonts w:ascii="Times New Roman" w:hAnsi="Times New Roman"/>
          <w:szCs w:val="20"/>
        </w:rPr>
      </w:pPr>
    </w:p>
    <w:p w14:paraId="2CE15568">
      <w:pPr>
        <w:rPr>
          <w:rFonts w:ascii="Times New Roman" w:hAnsi="Times New Roman"/>
          <w:szCs w:val="20"/>
        </w:rPr>
      </w:pPr>
    </w:p>
    <w:p w14:paraId="799B963A">
      <w:pPr>
        <w:rPr>
          <w:rFonts w:ascii="Times New Roman" w:hAnsi="Times New Roman"/>
          <w:szCs w:val="20"/>
        </w:rPr>
      </w:pPr>
    </w:p>
    <w:p w14:paraId="2C24989C">
      <w:pPr>
        <w:rPr>
          <w:rFonts w:ascii="Times New Roman" w:hAnsi="Times New Roman"/>
          <w:szCs w:val="20"/>
        </w:rPr>
      </w:pPr>
    </w:p>
    <w:p w14:paraId="68AB4BE4">
      <w:pPr>
        <w:rPr>
          <w:rFonts w:ascii="Times New Roman" w:hAnsi="Times New Roman"/>
          <w:szCs w:val="20"/>
        </w:rPr>
      </w:pPr>
    </w:p>
    <w:p w14:paraId="1194FA72">
      <w:pPr>
        <w:rPr>
          <w:rFonts w:ascii="Times New Roman" w:hAnsi="Times New Roman"/>
          <w:szCs w:val="20"/>
        </w:rPr>
      </w:pPr>
    </w:p>
    <w:p w14:paraId="355BF731">
      <w:pPr>
        <w:ind w:firstLine="440" w:firstLineChars="100"/>
        <w:rPr>
          <w:rFonts w:ascii="黑体" w:hAnsi="黑体" w:eastAsia="黑体" w:cs="黑体"/>
          <w:color w:val="000000"/>
          <w:sz w:val="28"/>
          <w:szCs w:val="28"/>
          <w:u w:val="single"/>
        </w:rPr>
      </w:pPr>
      <w:r>
        <w:rPr>
          <w:rFonts w:ascii="黑体" w:hAnsi="黑体" w:eastAsia="黑体" w:cs="黑体"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387350</wp:posOffset>
                </wp:positionV>
                <wp:extent cx="5352415" cy="8890"/>
                <wp:effectExtent l="0" t="0" r="19685" b="2921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52415" cy="88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9pt;margin-top:30.5pt;height:0.7pt;width:421.45pt;z-index:251662336;mso-width-relative:page;mso-height-relative:page;" filled="f" stroked="t" coordsize="21600,21600" o:gfxdata="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sFE701QAAAAgBAAAPAAAAAAAAAAEAIAAAACIAAABkcnMvZG93bnJldi54&#10;bWxQSwECFAAUAAAACACHTuJAFkANhf0BAADxAwAADgAAAAAAAAABACAAAAAk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color w:val="000000"/>
          <w:sz w:val="28"/>
          <w:szCs w:val="28"/>
        </w:rPr>
        <w:t>XXXX-XX-XX发布                         XXXX-XX-XX实施</w:t>
      </w:r>
    </w:p>
    <w:p w14:paraId="32F75DD3">
      <w:pPr>
        <w:jc w:val="center"/>
        <w:rPr>
          <w:rFonts w:ascii="黑体" w:hAnsi="黑体" w:eastAsia="黑体" w:cs="黑体"/>
          <w:color w:val="000000"/>
          <w:spacing w:val="26"/>
          <w:w w:val="120"/>
          <w:sz w:val="44"/>
          <w:szCs w:val="44"/>
        </w:rPr>
      </w:pPr>
    </w:p>
    <w:p w14:paraId="5099F353">
      <w:pPr>
        <w:spacing w:line="440" w:lineRule="exact"/>
        <w:ind w:firstLine="1160" w:firstLineChars="200"/>
        <w:rPr>
          <w:rFonts w:ascii="黑体" w:hAnsi="黑体" w:eastAsia="黑体" w:cs="黑体"/>
          <w:color w:val="000000"/>
          <w:spacing w:val="26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黑体" w:hAnsi="黑体" w:eastAsia="黑体" w:cs="黑体"/>
          <w:color w:val="000000"/>
          <w:spacing w:val="26"/>
          <w:w w:val="120"/>
          <w:sz w:val="44"/>
          <w:szCs w:val="44"/>
        </w:rPr>
        <w:t>安徽省市场监督管理局</w:t>
      </w:r>
      <w:r>
        <w:rPr>
          <w:rFonts w:hint="eastAsia" w:ascii="黑体" w:hAnsi="黑体" w:eastAsia="黑体" w:cs="黑体"/>
          <w:color w:val="000000"/>
          <w:spacing w:val="26"/>
          <w:sz w:val="28"/>
          <w:szCs w:val="28"/>
        </w:rPr>
        <w:t>发布</w:t>
      </w:r>
    </w:p>
    <w:p w14:paraId="6FA3E496">
      <w:pPr>
        <w:tabs>
          <w:tab w:val="left" w:pos="7140"/>
        </w:tabs>
        <w:spacing w:line="360" w:lineRule="auto"/>
        <w:ind w:firstLine="440" w:firstLineChars="100"/>
        <w:rPr>
          <w:rFonts w:ascii="Times New Roman" w:hAnsi="Times New Roman" w:eastAsia="黑体"/>
          <w:bCs/>
          <w:sz w:val="44"/>
          <w:szCs w:val="44"/>
        </w:rPr>
      </w:pPr>
      <w:r>
        <w:rPr>
          <w:rFonts w:hint="eastAsia" w:ascii="Times New Roman" w:hAnsi="Times New Roman" w:eastAsia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4116070</wp:posOffset>
                </wp:positionH>
                <wp:positionV relativeFrom="paragraph">
                  <wp:posOffset>241300</wp:posOffset>
                </wp:positionV>
                <wp:extent cx="1697355" cy="685800"/>
                <wp:effectExtent l="0" t="0" r="17145" b="19685"/>
                <wp:wrapNone/>
                <wp:docPr id="18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7355" cy="6856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74FFE09">
                            <w:pPr>
                              <w:jc w:val="center"/>
                              <w:rPr>
                                <w:rFonts w:ascii="黑体" w:hAnsi="黑体" w:eastAsia="黑体"/>
                              </w:rPr>
                            </w:pPr>
                            <w:r>
                              <w:rPr>
                                <w:rFonts w:ascii="黑体" w:hAnsi="黑体" w:eastAsia="黑体"/>
                                <w:bCs/>
                                <w:sz w:val="28"/>
                              </w:rPr>
                              <w:t>JJF</w:t>
                            </w:r>
                            <w:r>
                              <w:rPr>
                                <w:rFonts w:hint="eastAsia" w:ascii="黑体" w:hAnsi="黑体" w:eastAsia="黑体"/>
                                <w:bCs/>
                                <w:sz w:val="28"/>
                              </w:rPr>
                              <w:t>（皖）XX</w:t>
                            </w:r>
                            <w:r>
                              <w:rPr>
                                <w:rFonts w:ascii="黑体" w:hAnsi="黑体" w:eastAsia="黑体"/>
                                <w:bCs/>
                                <w:sz w:val="28"/>
                              </w:rPr>
                              <w:t>XX-XXXX</w:t>
                            </w:r>
                          </w:p>
                        </w:txbxContent>
                      </wps:txbx>
                      <wps:bodyPr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24.1pt;margin-top:19pt;height:54pt;width:133.65pt;z-index:251659264;mso-width-relative:page;mso-height-relative:page;" fillcolor="#FFFFFF" filled="t" stroked="t" coordsize="21600,21600" o:gfxdata="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cJHdJ2QAAAAoB&#10;AAAPAAAAAAAAAAEAIAAAACIAAABkcnMvZG93bnJldi54bWxQSwECFAAUAAAACACHTuJAvXF2aBoC&#10;AABTBAAADgAAAAAAAAABACAAAAAoAQAAZHJzL2Uyb0RvYy54bWxQSwUGAAAAAAYABgBZAQAAtAUA&#10;AAAA&#10;">
                <v:fill on="t" focussize="0,0"/>
                <v:stroke weight="1.5pt" color="#000000" joinstyle="miter" dashstyle="1 1"/>
                <v:imagedata o:title=""/>
                <o:lock v:ext="edit" aspectratio="f"/>
                <v:textbox>
                  <w:txbxContent>
                    <w:p w14:paraId="474FFE09">
                      <w:pPr>
                        <w:jc w:val="center"/>
                        <w:rPr>
                          <w:rFonts w:ascii="黑体" w:hAnsi="黑体" w:eastAsia="黑体"/>
                        </w:rPr>
                      </w:pPr>
                      <w:r>
                        <w:rPr>
                          <w:rFonts w:ascii="黑体" w:hAnsi="黑体" w:eastAsia="黑体"/>
                          <w:bCs/>
                          <w:sz w:val="28"/>
                        </w:rPr>
                        <w:t>JJF</w:t>
                      </w:r>
                      <w:r>
                        <w:rPr>
                          <w:rFonts w:hint="eastAsia" w:ascii="黑体" w:hAnsi="黑体" w:eastAsia="黑体"/>
                          <w:bCs/>
                          <w:sz w:val="28"/>
                        </w:rPr>
                        <w:t>（皖）XX</w:t>
                      </w:r>
                      <w:r>
                        <w:rPr>
                          <w:rFonts w:ascii="黑体" w:hAnsi="黑体" w:eastAsia="黑体"/>
                          <w:bCs/>
                          <w:sz w:val="28"/>
                        </w:rPr>
                        <w:t>XX-XXXX</w:t>
                      </w:r>
                    </w:p>
                  </w:txbxContent>
                </v:textbox>
              </v:shape>
            </w:pict>
          </mc:Fallback>
        </mc:AlternateContent>
      </w:r>
    </w:p>
    <w:p w14:paraId="22917BF4">
      <w:pPr>
        <w:tabs>
          <w:tab w:val="left" w:pos="7140"/>
        </w:tabs>
        <w:spacing w:line="360" w:lineRule="auto"/>
        <w:rPr>
          <w:rFonts w:ascii="Times New Roman" w:hAnsi="Times New Roman" w:eastAsia="黑体"/>
          <w:sz w:val="44"/>
          <w:szCs w:val="44"/>
        </w:rPr>
      </w:pPr>
      <w:r>
        <w:rPr>
          <w:rFonts w:hint="eastAsia" w:ascii="Times New Roman" w:hAnsi="Times New Roman" w:eastAsia="黑体"/>
          <w:bCs/>
          <w:sz w:val="44"/>
          <w:szCs w:val="44"/>
        </w:rPr>
        <w:t>氟化物水质自动分析仪校准规范</w:t>
      </w:r>
    </w:p>
    <w:p w14:paraId="1749CD52">
      <w:pPr>
        <w:rPr>
          <w:rFonts w:ascii="黑体" w:hAnsi="黑体" w:eastAsia="黑体"/>
          <w:sz w:val="28"/>
          <w:szCs w:val="28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-180975</wp:posOffset>
                </wp:positionH>
                <wp:positionV relativeFrom="paragraph">
                  <wp:posOffset>733425</wp:posOffset>
                </wp:positionV>
                <wp:extent cx="5939790" cy="0"/>
                <wp:effectExtent l="0" t="0" r="0" b="0"/>
                <wp:wrapNone/>
                <wp:docPr id="20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979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-14.25pt;margin-top:57.75pt;height:0pt;width:467.7pt;z-index:251661312;mso-width-relative:page;mso-height-relative:page;" filled="f" stroked="t" coordsize="21600,21600" o:gfxdata="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faqLY1wAAAAsBAAAP&#10;AAAAAAAAAAEAIAAAACIAAABkcnMvZG93bnJldi54bWxQSwECFAAUAAAACACHTuJA6vNcFuABAADQ&#10;AwAADgAAAAAAAAABACAAAAAm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hAnsi="黑体" w:eastAsia="黑体"/>
          <w:sz w:val="28"/>
          <w:szCs w:val="28"/>
        </w:rPr>
        <w:t xml:space="preserve">Calibration </w:t>
      </w:r>
      <w:r>
        <w:rPr>
          <w:rFonts w:hint="eastAsia" w:ascii="黑体" w:hAnsi="黑体" w:eastAsia="黑体"/>
          <w:sz w:val="28"/>
          <w:szCs w:val="28"/>
        </w:rPr>
        <w:t>s</w:t>
      </w:r>
      <w:r>
        <w:rPr>
          <w:rFonts w:ascii="黑体" w:hAnsi="黑体" w:eastAsia="黑体"/>
          <w:sz w:val="28"/>
          <w:szCs w:val="28"/>
        </w:rPr>
        <w:t xml:space="preserve">pecification for </w:t>
      </w:r>
      <w:r>
        <w:rPr>
          <w:rFonts w:hint="eastAsia" w:ascii="黑体" w:hAnsi="黑体" w:eastAsia="黑体"/>
          <w:sz w:val="28"/>
          <w:szCs w:val="28"/>
        </w:rPr>
        <w:t>a</w:t>
      </w:r>
      <w:r>
        <w:rPr>
          <w:rFonts w:ascii="黑体" w:hAnsi="黑体" w:eastAsia="黑体"/>
          <w:sz w:val="28"/>
          <w:szCs w:val="28"/>
        </w:rPr>
        <w:t>utomatic</w:t>
      </w:r>
      <w:r>
        <w:rPr>
          <w:rFonts w:hint="eastAsia" w:ascii="黑体" w:hAnsi="黑体" w:eastAsia="黑体"/>
          <w:sz w:val="28"/>
          <w:szCs w:val="28"/>
        </w:rPr>
        <w:t xml:space="preserve"> </w:t>
      </w:r>
    </w:p>
    <w:p w14:paraId="0879BA08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f</w:t>
      </w:r>
      <w:r>
        <w:rPr>
          <w:rFonts w:ascii="黑体" w:hAnsi="黑体" w:eastAsia="黑体"/>
          <w:sz w:val="28"/>
          <w:szCs w:val="28"/>
        </w:rPr>
        <w:t xml:space="preserve">luoride </w:t>
      </w:r>
      <w:r>
        <w:rPr>
          <w:rFonts w:hint="eastAsia" w:ascii="黑体" w:hAnsi="黑体" w:eastAsia="黑体"/>
          <w:sz w:val="28"/>
          <w:szCs w:val="28"/>
        </w:rPr>
        <w:t>w</w:t>
      </w:r>
      <w:r>
        <w:rPr>
          <w:rFonts w:ascii="黑体" w:hAnsi="黑体" w:eastAsia="黑体"/>
          <w:sz w:val="28"/>
          <w:szCs w:val="28"/>
        </w:rPr>
        <w:t>ater Quality Analyzer</w:t>
      </w:r>
    </w:p>
    <w:p w14:paraId="34461B9C">
      <w:pPr>
        <w:pStyle w:val="3"/>
        <w:spacing w:line="360" w:lineRule="auto"/>
        <w:ind w:left="479" w:leftChars="228"/>
        <w:rPr>
          <w:rFonts w:ascii="Times New Roman" w:hAnsi="Times New Roman"/>
          <w:sz w:val="24"/>
          <w:szCs w:val="24"/>
        </w:rPr>
      </w:pPr>
    </w:p>
    <w:p w14:paraId="2E7A08D5">
      <w:pPr>
        <w:pStyle w:val="3"/>
        <w:rPr>
          <w:rFonts w:ascii="Times New Roman" w:hAnsi="Times New Roman"/>
          <w:sz w:val="24"/>
        </w:rPr>
      </w:pPr>
    </w:p>
    <w:p w14:paraId="4DB9468B">
      <w:pPr>
        <w:pStyle w:val="3"/>
        <w:rPr>
          <w:rFonts w:ascii="Times New Roman" w:hAnsi="Times New Roman"/>
          <w:sz w:val="24"/>
        </w:rPr>
      </w:pPr>
    </w:p>
    <w:p w14:paraId="11631D93">
      <w:pPr>
        <w:pStyle w:val="3"/>
        <w:rPr>
          <w:rFonts w:ascii="Times New Roman" w:hAnsi="Times New Roman"/>
          <w:sz w:val="24"/>
        </w:rPr>
      </w:pPr>
    </w:p>
    <w:p w14:paraId="40A271B9">
      <w:pPr>
        <w:pStyle w:val="3"/>
        <w:rPr>
          <w:rFonts w:ascii="Times New Roman" w:hAnsi="Times New Roman"/>
          <w:sz w:val="24"/>
        </w:rPr>
      </w:pPr>
    </w:p>
    <w:p w14:paraId="418EB06F">
      <w:pPr>
        <w:pStyle w:val="3"/>
        <w:rPr>
          <w:rFonts w:ascii="Times New Roman" w:hAnsi="Times New Roman"/>
          <w:sz w:val="24"/>
        </w:rPr>
      </w:pPr>
    </w:p>
    <w:p w14:paraId="57211517">
      <w:pPr>
        <w:pStyle w:val="3"/>
        <w:rPr>
          <w:rFonts w:ascii="Times New Roman" w:hAnsi="Times New Roman"/>
          <w:sz w:val="24"/>
        </w:rPr>
      </w:pPr>
    </w:p>
    <w:p w14:paraId="3852E102">
      <w:pPr>
        <w:pStyle w:val="3"/>
        <w:rPr>
          <w:rFonts w:ascii="Times New Roman" w:hAnsi="Times New Roman"/>
          <w:sz w:val="24"/>
        </w:rPr>
      </w:pPr>
    </w:p>
    <w:p w14:paraId="3B260470">
      <w:pPr>
        <w:widowControl/>
        <w:spacing w:before="100" w:beforeAutospacing="1" w:after="100" w:afterAutospacing="1" w:line="400" w:lineRule="exact"/>
        <w:ind w:right="57" w:firstLine="1522" w:firstLineChars="331"/>
        <w:jc w:val="left"/>
        <w:rPr>
          <w:rFonts w:ascii="宋体"/>
          <w:sz w:val="28"/>
        </w:rPr>
      </w:pPr>
      <w:r>
        <w:rPr>
          <w:rFonts w:hint="eastAsia" w:ascii="黑体" w:hAnsi="黑体" w:eastAsia="黑体"/>
          <w:spacing w:val="90"/>
          <w:sz w:val="28"/>
        </w:rPr>
        <w:t>归口单位</w:t>
      </w:r>
      <w:r>
        <w:rPr>
          <w:rFonts w:hint="eastAsia" w:ascii="黑体" w:hAnsi="黑体" w:eastAsia="黑体"/>
          <w:sz w:val="28"/>
        </w:rPr>
        <w:t>：</w:t>
      </w:r>
      <w:r>
        <w:rPr>
          <w:rFonts w:hint="eastAsia" w:ascii="宋体" w:hAnsi="宋体"/>
          <w:sz w:val="28"/>
        </w:rPr>
        <w:t>安徽省</w:t>
      </w:r>
      <w:r>
        <w:rPr>
          <w:rFonts w:hint="eastAsia" w:ascii="Times New Roman" w:hAnsi="Times New Roman"/>
          <w:sz w:val="28"/>
          <w:szCs w:val="28"/>
        </w:rPr>
        <w:t>化学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计量</w:t>
      </w:r>
      <w:r>
        <w:rPr>
          <w:rFonts w:hint="eastAsia" w:ascii="Times New Roman" w:hAnsi="Times New Roman"/>
          <w:sz w:val="28"/>
          <w:szCs w:val="28"/>
        </w:rPr>
        <w:t>技术委员会</w:t>
      </w:r>
    </w:p>
    <w:p w14:paraId="107CDAD8">
      <w:pPr>
        <w:widowControl/>
        <w:spacing w:before="100" w:beforeAutospacing="1" w:after="100" w:afterAutospacing="1" w:line="400" w:lineRule="exact"/>
        <w:ind w:right="57" w:firstLine="1486" w:firstLineChars="531"/>
        <w:jc w:val="left"/>
        <w:rPr>
          <w:rFonts w:ascii="宋体" w:hAnsi="宋体"/>
          <w:sz w:val="28"/>
        </w:rPr>
      </w:pPr>
      <w:r>
        <w:rPr>
          <w:rFonts w:hint="eastAsia" w:ascii="黑体" w:hAnsi="黑体" w:eastAsia="黑体"/>
          <w:sz w:val="28"/>
        </w:rPr>
        <w:t>主要起草单</w:t>
      </w:r>
      <w:r>
        <w:rPr>
          <w:rFonts w:hint="eastAsia" w:ascii="黑体" w:hAnsi="黑体" w:eastAsia="黑体"/>
          <w:spacing w:val="90"/>
          <w:sz w:val="28"/>
        </w:rPr>
        <w:t>位</w:t>
      </w:r>
      <w:r>
        <w:rPr>
          <w:rFonts w:hint="eastAsia" w:ascii="黑体" w:hAnsi="黑体" w:eastAsia="黑体"/>
          <w:sz w:val="28"/>
        </w:rPr>
        <w:t>：</w:t>
      </w:r>
      <w:r>
        <w:rPr>
          <w:rFonts w:hint="eastAsia" w:ascii="宋体" w:hAnsi="宋体"/>
          <w:sz w:val="28"/>
        </w:rPr>
        <w:t>安徽省计量科学研究院</w:t>
      </w:r>
    </w:p>
    <w:p w14:paraId="7ECFA98F">
      <w:pPr>
        <w:widowControl/>
        <w:spacing w:before="100" w:beforeAutospacing="1" w:after="100" w:afterAutospacing="1" w:line="400" w:lineRule="exact"/>
        <w:ind w:right="57" w:firstLine="1486" w:firstLineChars="531"/>
        <w:jc w:val="left"/>
        <w:rPr>
          <w:rFonts w:ascii="宋体" w:hAnsi="宋体"/>
          <w:sz w:val="28"/>
        </w:rPr>
      </w:pPr>
      <w:r>
        <w:rPr>
          <w:rFonts w:hint="eastAsia" w:ascii="黑体" w:hAnsi="黑体" w:eastAsia="黑体"/>
          <w:sz w:val="28"/>
        </w:rPr>
        <w:t>参加起草单</w:t>
      </w:r>
      <w:r>
        <w:rPr>
          <w:rFonts w:hint="eastAsia" w:ascii="黑体" w:hAnsi="黑体" w:eastAsia="黑体"/>
          <w:spacing w:val="90"/>
          <w:sz w:val="28"/>
        </w:rPr>
        <w:t>位</w:t>
      </w:r>
      <w:r>
        <w:rPr>
          <w:rFonts w:hint="eastAsia" w:ascii="黑体" w:hAnsi="黑体" w:eastAsia="黑体"/>
          <w:sz w:val="28"/>
        </w:rPr>
        <w:t>：</w:t>
      </w:r>
      <w:r>
        <w:rPr>
          <w:rFonts w:hint="eastAsia" w:ascii="宋体" w:hAnsi="宋体"/>
          <w:sz w:val="28"/>
        </w:rPr>
        <w:t>安徽省碧水电子技术有限公司</w:t>
      </w:r>
    </w:p>
    <w:p w14:paraId="2BC6D9E1">
      <w:pPr>
        <w:widowControl/>
        <w:adjustRightInd w:val="0"/>
        <w:snapToGrid w:val="0"/>
        <w:spacing w:after="100" w:afterAutospacing="1" w:line="400" w:lineRule="exact"/>
        <w:ind w:firstLine="3640" w:firstLineChars="1300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安徽皖仪科技股份有限公司</w:t>
      </w:r>
    </w:p>
    <w:p w14:paraId="36937F9F">
      <w:pPr>
        <w:widowControl/>
        <w:spacing w:before="100" w:beforeAutospacing="1" w:after="100" w:afterAutospacing="1" w:line="400" w:lineRule="exact"/>
        <w:ind w:right="57" w:firstLine="3726" w:firstLineChars="1331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          </w:t>
      </w:r>
    </w:p>
    <w:p w14:paraId="0ED81C80">
      <w:pPr>
        <w:widowControl/>
        <w:spacing w:before="100" w:beforeAutospacing="1" w:after="100" w:afterAutospacing="1" w:line="400" w:lineRule="exact"/>
        <w:ind w:right="57" w:firstLine="1486" w:firstLineChars="531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            </w:t>
      </w:r>
    </w:p>
    <w:p w14:paraId="2758C81D">
      <w:pPr>
        <w:widowControl/>
        <w:spacing w:before="100" w:beforeAutospacing="1" w:after="100" w:afterAutospacing="1" w:line="400" w:lineRule="exact"/>
        <w:ind w:right="57" w:firstLine="1486" w:firstLineChars="531"/>
        <w:jc w:val="left"/>
        <w:rPr>
          <w:rFonts w:ascii="黑体" w:hAnsi="黑体" w:eastAsia="黑体"/>
          <w:sz w:val="28"/>
        </w:rPr>
      </w:pPr>
    </w:p>
    <w:p w14:paraId="27918404">
      <w:pPr>
        <w:widowControl/>
        <w:spacing w:before="100" w:beforeAutospacing="1" w:after="100" w:afterAutospacing="1" w:line="400" w:lineRule="exact"/>
        <w:ind w:right="57" w:firstLine="1486" w:firstLineChars="531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            </w:t>
      </w:r>
    </w:p>
    <w:p w14:paraId="0AD362FE">
      <w:pPr>
        <w:widowControl/>
        <w:spacing w:before="100" w:beforeAutospacing="1" w:after="100" w:afterAutospacing="1" w:line="400" w:lineRule="exact"/>
        <w:ind w:right="57" w:firstLine="1486" w:firstLineChars="531"/>
        <w:jc w:val="left"/>
        <w:rPr>
          <w:rFonts w:ascii="宋体" w:hAnsi="宋体"/>
          <w:sz w:val="28"/>
        </w:rPr>
      </w:pPr>
    </w:p>
    <w:p w14:paraId="06BFF9BD">
      <w:pPr>
        <w:widowControl/>
        <w:spacing w:before="100" w:beforeAutospacing="1" w:after="100" w:afterAutospacing="1" w:line="400" w:lineRule="exact"/>
        <w:ind w:right="57" w:firstLine="1486" w:firstLineChars="531"/>
        <w:jc w:val="left"/>
        <w:rPr>
          <w:rFonts w:ascii="宋体" w:hAnsi="宋体"/>
          <w:sz w:val="28"/>
        </w:rPr>
      </w:pPr>
    </w:p>
    <w:p w14:paraId="64396956">
      <w:pPr>
        <w:widowControl/>
        <w:spacing w:before="100" w:beforeAutospacing="1" w:after="100" w:afterAutospacing="1" w:line="400" w:lineRule="exact"/>
        <w:ind w:right="57"/>
        <w:jc w:val="left"/>
        <w:rPr>
          <w:rFonts w:ascii="宋体" w:hAnsi="宋体" w:eastAsia="黑体"/>
          <w:color w:val="000000"/>
          <w:sz w:val="28"/>
        </w:rPr>
      </w:pPr>
    </w:p>
    <w:p w14:paraId="1247E77A">
      <w:pPr>
        <w:ind w:firstLine="1680" w:firstLineChars="600"/>
        <w:rPr>
          <w:rFonts w:ascii="Times New Roman" w:hAnsi="Times New Roman" w:eastAsia="黑体"/>
          <w:sz w:val="28"/>
          <w:szCs w:val="20"/>
        </w:rPr>
      </w:pPr>
      <w:r>
        <w:rPr>
          <w:rFonts w:hint="eastAsia" w:ascii="Times New Roman" w:hAnsi="Times New Roman"/>
          <w:sz w:val="28"/>
          <w:szCs w:val="28"/>
        </w:rPr>
        <w:t>本规范委托安徽省化学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计量</w:t>
      </w:r>
      <w:bookmarkStart w:id="5" w:name="_GoBack"/>
      <w:bookmarkEnd w:id="5"/>
      <w:r>
        <w:rPr>
          <w:rFonts w:hint="eastAsia" w:ascii="Times New Roman" w:hAnsi="Times New Roman"/>
          <w:sz w:val="28"/>
          <w:szCs w:val="28"/>
        </w:rPr>
        <w:t>技术委员会负责解释</w:t>
      </w:r>
    </w:p>
    <w:p w14:paraId="61DD1189"/>
    <w:p w14:paraId="3405AA28"/>
    <w:p w14:paraId="42DC9A20"/>
    <w:p w14:paraId="099018A5"/>
    <w:p w14:paraId="693E6411"/>
    <w:p w14:paraId="0D8250EE">
      <w:pPr>
        <w:ind w:firstLine="280" w:firstLineChars="1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规范主要起草人：</w:t>
      </w:r>
    </w:p>
    <w:p w14:paraId="619EBFFB">
      <w:pPr>
        <w:ind w:firstLine="1400" w:firstLineChars="5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刘永杰（安徽省计量科学研究院）</w:t>
      </w:r>
    </w:p>
    <w:p w14:paraId="2227756C">
      <w:pPr>
        <w:ind w:firstLine="1400" w:firstLineChars="5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徐  俊（安徽省计量科学研究院）</w:t>
      </w:r>
    </w:p>
    <w:p w14:paraId="4E110AD8">
      <w:pPr>
        <w:ind w:firstLine="1400" w:firstLineChars="5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董士伟（安徽省计量科学研究院）</w:t>
      </w:r>
    </w:p>
    <w:p w14:paraId="76C19D1D">
      <w:pPr>
        <w:ind w:firstLine="1400" w:firstLineChars="5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刘  源（安徽省计量科学研究院）</w:t>
      </w:r>
    </w:p>
    <w:p w14:paraId="24B03899">
      <w:pPr>
        <w:ind w:firstLine="1400" w:firstLineChars="5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李  伟（安徽省计量科学研究院）</w:t>
      </w:r>
    </w:p>
    <w:p w14:paraId="0C33C81A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</w:t>
      </w:r>
      <w:r>
        <w:rPr>
          <w:rFonts w:hint="eastAsia" w:ascii="黑体" w:hAnsi="黑体" w:eastAsia="黑体" w:cs="黑体"/>
          <w:sz w:val="28"/>
          <w:szCs w:val="28"/>
        </w:rPr>
        <w:t>参加起草人：</w:t>
      </w:r>
    </w:p>
    <w:p w14:paraId="03D1E044">
      <w:pPr>
        <w:rPr>
          <w:rFonts w:ascii="宋体" w:hAnsi="宋体" w:cs="宋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 xml:space="preserve">          </w:t>
      </w:r>
      <w:r>
        <w:rPr>
          <w:rFonts w:hint="eastAsia" w:ascii="宋体" w:hAnsi="宋体" w:cs="宋体"/>
          <w:sz w:val="28"/>
          <w:szCs w:val="28"/>
        </w:rPr>
        <w:t>李双林（安徽省碧水电子技术有限公司）</w:t>
      </w:r>
    </w:p>
    <w:p w14:paraId="02666768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 王立田（安徽皖仪科技股份有限公司）</w:t>
      </w:r>
    </w:p>
    <w:p w14:paraId="4067FCDD">
      <w:pPr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</w:t>
      </w:r>
    </w:p>
    <w:p w14:paraId="00C73B22">
      <w:pPr>
        <w:ind w:firstLine="1400" w:firstLineChars="500"/>
        <w:rPr>
          <w:rFonts w:ascii="黑体" w:hAnsi="黑体" w:eastAsia="黑体" w:cs="黑体"/>
          <w:sz w:val="28"/>
          <w:szCs w:val="28"/>
        </w:rPr>
      </w:pPr>
    </w:p>
    <w:p w14:paraId="6912CA26">
      <w:pPr>
        <w:ind w:firstLine="840"/>
        <w:rPr>
          <w:rFonts w:ascii="黑体" w:hAnsi="Courier New" w:eastAsia="黑体"/>
          <w:color w:val="000000"/>
          <w:sz w:val="28"/>
        </w:rPr>
      </w:pPr>
    </w:p>
    <w:p w14:paraId="46E821E2">
      <w:pPr>
        <w:pStyle w:val="3"/>
        <w:tabs>
          <w:tab w:val="left" w:pos="8100"/>
        </w:tabs>
        <w:spacing w:line="560" w:lineRule="exact"/>
        <w:ind w:right="206" w:rightChars="98"/>
        <w:jc w:val="center"/>
        <w:rPr>
          <w:rFonts w:ascii="Times New Roman" w:hAnsi="Times New Roman" w:eastAsia="黑体"/>
          <w:sz w:val="44"/>
        </w:rPr>
        <w:sectPr>
          <w:headerReference r:id="rId5" w:type="first"/>
          <w:headerReference r:id="rId4" w:type="default"/>
          <w:pgSz w:w="11906" w:h="16838"/>
          <w:pgMar w:top="1440" w:right="1469" w:bottom="1440" w:left="1622" w:header="851" w:footer="992" w:gutter="0"/>
          <w:pgNumType w:fmt="upperRoman" w:start="4"/>
          <w:cols w:space="720" w:num="1"/>
          <w:titlePg/>
          <w:docGrid w:type="lines" w:linePitch="312" w:charSpace="0"/>
        </w:sectPr>
      </w:pPr>
    </w:p>
    <w:p w14:paraId="0A45696F">
      <w:pPr>
        <w:pStyle w:val="3"/>
        <w:tabs>
          <w:tab w:val="left" w:pos="8100"/>
        </w:tabs>
        <w:spacing w:line="440" w:lineRule="exact"/>
        <w:ind w:right="206" w:rightChars="98"/>
        <w:jc w:val="center"/>
        <w:rPr>
          <w:rFonts w:ascii="Times New Roman" w:hAnsi="Times New Roman" w:eastAsia="黑体"/>
          <w:sz w:val="44"/>
        </w:rPr>
      </w:pPr>
    </w:p>
    <w:p w14:paraId="1F4903FE">
      <w:pPr>
        <w:pStyle w:val="3"/>
        <w:tabs>
          <w:tab w:val="left" w:pos="8100"/>
        </w:tabs>
        <w:spacing w:line="440" w:lineRule="exact"/>
        <w:ind w:right="206" w:rightChars="98"/>
        <w:jc w:val="center"/>
        <w:rPr>
          <w:rFonts w:ascii="Times New Roman" w:hAnsi="Times New Roman" w:eastAsia="黑体"/>
          <w:sz w:val="44"/>
        </w:rPr>
      </w:pPr>
      <w:r>
        <w:rPr>
          <w:rFonts w:hint="eastAsia" w:ascii="Times New Roman" w:hAnsi="Times New Roman" w:eastAsia="黑体"/>
          <w:sz w:val="44"/>
        </w:rPr>
        <w:t>目录</w:t>
      </w:r>
    </w:p>
    <w:p w14:paraId="7EB22B15">
      <w:pPr>
        <w:pStyle w:val="3"/>
        <w:tabs>
          <w:tab w:val="left" w:pos="8100"/>
        </w:tabs>
        <w:spacing w:line="440" w:lineRule="exact"/>
        <w:ind w:right="206" w:rightChars="98"/>
        <w:jc w:val="center"/>
        <w:rPr>
          <w:rFonts w:ascii="Times New Roman" w:hAnsi="Times New Roman" w:eastAsia="黑体"/>
          <w:sz w:val="44"/>
        </w:rPr>
      </w:pPr>
    </w:p>
    <w:tbl>
      <w:tblPr>
        <w:tblStyle w:val="8"/>
        <w:tblW w:w="889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8"/>
        <w:gridCol w:w="709"/>
      </w:tblGrid>
      <w:tr w14:paraId="2DE0F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</w:trPr>
        <w:tc>
          <w:tcPr>
            <w:tcW w:w="8188" w:type="dxa"/>
            <w:vAlign w:val="center"/>
          </w:tcPr>
          <w:p w14:paraId="565E916A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引言…………………………………………………………………………………言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………………………………………………………………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</w:t>
            </w:r>
          </w:p>
        </w:tc>
        <w:tc>
          <w:tcPr>
            <w:tcW w:w="709" w:type="dxa"/>
            <w:vAlign w:val="center"/>
          </w:tcPr>
          <w:p w14:paraId="75646364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0"/>
                <w:shd w:val="clear" w:color="auto" w:fill="FFFFFF"/>
              </w:rPr>
              <w:t>II</w:t>
            </w:r>
          </w:p>
        </w:tc>
      </w:tr>
      <w:tr w14:paraId="0E179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188" w:type="dxa"/>
            <w:vAlign w:val="center"/>
          </w:tcPr>
          <w:p w14:paraId="182144E7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Ansi="宋体" w:cs="宋体"/>
                <w:sz w:val="24"/>
                <w:szCs w:val="24"/>
                <w:shd w:val="clear" w:color="auto" w:fill="FFFFFF"/>
              </w:rPr>
              <w:t xml:space="preserve">1 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范围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………………………………………………………………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</w:t>
            </w:r>
          </w:p>
        </w:tc>
        <w:tc>
          <w:tcPr>
            <w:tcW w:w="709" w:type="dxa"/>
            <w:vAlign w:val="center"/>
          </w:tcPr>
          <w:p w14:paraId="7D9B4A7E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Ansi="宋体" w:cs="宋体"/>
                <w:sz w:val="24"/>
                <w:szCs w:val="24"/>
                <w:shd w:val="clear" w:color="auto" w:fill="FFFFFF"/>
              </w:rPr>
              <w:t>1</w:t>
            </w:r>
          </w:p>
          <w:p w14:paraId="01C88703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</w:p>
        </w:tc>
      </w:tr>
      <w:tr w14:paraId="053D88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188" w:type="dxa"/>
            <w:vAlign w:val="center"/>
          </w:tcPr>
          <w:p w14:paraId="10E95678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2</w:t>
            </w:r>
            <w:r>
              <w:rPr>
                <w:rFonts w:hAnsi="宋体" w:cs="宋体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引用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文件…………………………………………………………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</w:t>
            </w:r>
          </w:p>
        </w:tc>
        <w:tc>
          <w:tcPr>
            <w:tcW w:w="709" w:type="dxa"/>
            <w:vAlign w:val="center"/>
          </w:tcPr>
          <w:p w14:paraId="3D1F15AB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Ansi="宋体" w:cs="宋体"/>
                <w:sz w:val="24"/>
                <w:szCs w:val="24"/>
                <w:shd w:val="clear" w:color="auto" w:fill="FFFFFF"/>
              </w:rPr>
              <w:t>1</w:t>
            </w:r>
          </w:p>
          <w:p w14:paraId="5863F0B7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</w:p>
        </w:tc>
      </w:tr>
      <w:tr w14:paraId="4FB05C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8188" w:type="dxa"/>
            <w:vAlign w:val="center"/>
          </w:tcPr>
          <w:p w14:paraId="2D23C867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hAnsi="宋体" w:cs="宋体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概述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…………………………………………………………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</w:t>
            </w:r>
          </w:p>
        </w:tc>
        <w:tc>
          <w:tcPr>
            <w:tcW w:w="709" w:type="dxa"/>
            <w:vAlign w:val="center"/>
          </w:tcPr>
          <w:p w14:paraId="46C5FAD4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1</w:t>
            </w:r>
          </w:p>
          <w:p w14:paraId="1383F6EC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jc w:val="center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</w:p>
        </w:tc>
      </w:tr>
      <w:tr w14:paraId="1FB5FF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8188" w:type="dxa"/>
            <w:vAlign w:val="center"/>
          </w:tcPr>
          <w:p w14:paraId="748D47A2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4</w:t>
            </w:r>
            <w:r>
              <w:rPr>
                <w:rFonts w:hAnsi="宋体" w:cs="宋体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计量特性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…………………………………………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……………………………</w:t>
            </w:r>
          </w:p>
        </w:tc>
        <w:tc>
          <w:tcPr>
            <w:tcW w:w="709" w:type="dxa"/>
            <w:vAlign w:val="center"/>
          </w:tcPr>
          <w:p w14:paraId="3CB0BA5E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1</w:t>
            </w:r>
          </w:p>
          <w:p w14:paraId="7AC5A1CF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jc w:val="center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</w:p>
        </w:tc>
      </w:tr>
      <w:tr w14:paraId="4B60C8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</w:trPr>
        <w:tc>
          <w:tcPr>
            <w:tcW w:w="8188" w:type="dxa"/>
            <w:vAlign w:val="center"/>
          </w:tcPr>
          <w:p w14:paraId="6F05B852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4</w:t>
            </w:r>
            <w:r>
              <w:rPr>
                <w:rFonts w:hAnsi="宋体" w:cs="宋体"/>
                <w:sz w:val="24"/>
                <w:szCs w:val="24"/>
                <w:shd w:val="clear" w:color="auto" w:fill="FFFFFF"/>
              </w:rPr>
              <w:t xml:space="preserve">.1 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示值误差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…………………………………………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…………………………</w:t>
            </w:r>
          </w:p>
        </w:tc>
        <w:tc>
          <w:tcPr>
            <w:tcW w:w="709" w:type="dxa"/>
            <w:vAlign w:val="center"/>
          </w:tcPr>
          <w:p w14:paraId="663AD0A9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1</w:t>
            </w:r>
          </w:p>
        </w:tc>
      </w:tr>
      <w:tr w14:paraId="2EB12C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</w:trPr>
        <w:tc>
          <w:tcPr>
            <w:tcW w:w="8188" w:type="dxa"/>
            <w:vAlign w:val="center"/>
          </w:tcPr>
          <w:p w14:paraId="22376D7D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4</w:t>
            </w:r>
            <w:r>
              <w:rPr>
                <w:rFonts w:hAnsi="宋体" w:cs="宋体"/>
                <w:sz w:val="24"/>
                <w:szCs w:val="24"/>
                <w:shd w:val="clear" w:color="auto" w:fill="FFFFFF"/>
              </w:rPr>
              <w:t xml:space="preserve">.2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重复性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………………………………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率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…………………………………………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</w:t>
            </w:r>
          </w:p>
        </w:tc>
        <w:tc>
          <w:tcPr>
            <w:tcW w:w="709" w:type="dxa"/>
            <w:vAlign w:val="center"/>
          </w:tcPr>
          <w:p w14:paraId="1347C7FE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Ansi="宋体" w:cs="宋体"/>
                <w:sz w:val="24"/>
                <w:szCs w:val="24"/>
                <w:shd w:val="clear" w:color="auto" w:fill="FFFFFF"/>
              </w:rPr>
              <w:t>1</w:t>
            </w:r>
          </w:p>
        </w:tc>
      </w:tr>
      <w:tr w14:paraId="4993DA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</w:trPr>
        <w:tc>
          <w:tcPr>
            <w:tcW w:w="8188" w:type="dxa"/>
            <w:vAlign w:val="center"/>
          </w:tcPr>
          <w:p w14:paraId="2C15737D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4</w:t>
            </w:r>
            <w:r>
              <w:rPr>
                <w:rFonts w:hAnsi="宋体" w:cs="宋体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3</w:t>
            </w:r>
            <w:r>
              <w:rPr>
                <w:rFonts w:hAnsi="宋体" w:cs="宋体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稳定性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…………………………………………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……………………………</w:t>
            </w:r>
          </w:p>
        </w:tc>
        <w:tc>
          <w:tcPr>
            <w:tcW w:w="709" w:type="dxa"/>
            <w:vAlign w:val="center"/>
          </w:tcPr>
          <w:p w14:paraId="0DC5AC39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Ansi="宋体" w:cs="宋体"/>
                <w:sz w:val="24"/>
                <w:szCs w:val="24"/>
                <w:shd w:val="clear" w:color="auto" w:fill="FFFFFF"/>
              </w:rPr>
              <w:t>1</w:t>
            </w:r>
          </w:p>
        </w:tc>
      </w:tr>
      <w:tr w14:paraId="16E60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8188" w:type="dxa"/>
            <w:vAlign w:val="center"/>
          </w:tcPr>
          <w:p w14:paraId="01B59DD8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5</w:t>
            </w:r>
            <w:r>
              <w:rPr>
                <w:rFonts w:hAnsi="宋体" w:cs="宋体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校准条件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…………………………………………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……………………………</w:t>
            </w:r>
          </w:p>
        </w:tc>
        <w:tc>
          <w:tcPr>
            <w:tcW w:w="709" w:type="dxa"/>
            <w:vAlign w:val="center"/>
          </w:tcPr>
          <w:p w14:paraId="48C27045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1</w:t>
            </w:r>
          </w:p>
        </w:tc>
      </w:tr>
      <w:tr w14:paraId="1F3D5B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8188" w:type="dxa"/>
            <w:vAlign w:val="center"/>
          </w:tcPr>
          <w:p w14:paraId="55E59998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5</w:t>
            </w:r>
            <w:r>
              <w:rPr>
                <w:rFonts w:hAnsi="宋体" w:cs="宋体"/>
                <w:sz w:val="24"/>
                <w:szCs w:val="24"/>
                <w:shd w:val="clear" w:color="auto" w:fill="FFFFFF"/>
              </w:rPr>
              <w:t xml:space="preserve">.1 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环境条件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……………………………</w:t>
            </w:r>
          </w:p>
        </w:tc>
        <w:tc>
          <w:tcPr>
            <w:tcW w:w="709" w:type="dxa"/>
            <w:vAlign w:val="center"/>
          </w:tcPr>
          <w:p w14:paraId="75A7F348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2</w:t>
            </w:r>
          </w:p>
        </w:tc>
      </w:tr>
      <w:tr w14:paraId="78BDCB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</w:trPr>
        <w:tc>
          <w:tcPr>
            <w:tcW w:w="8188" w:type="dxa"/>
            <w:vAlign w:val="center"/>
          </w:tcPr>
          <w:p w14:paraId="06DEEFD9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5</w:t>
            </w:r>
            <w:r>
              <w:rPr>
                <w:rFonts w:hAnsi="宋体" w:cs="宋体"/>
                <w:sz w:val="24"/>
                <w:szCs w:val="24"/>
                <w:shd w:val="clear" w:color="auto" w:fill="FFFFFF"/>
              </w:rPr>
              <w:t xml:space="preserve">.2 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测量标准及其他设备……………………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</w:t>
            </w:r>
          </w:p>
        </w:tc>
        <w:tc>
          <w:tcPr>
            <w:tcW w:w="709" w:type="dxa"/>
            <w:vAlign w:val="center"/>
          </w:tcPr>
          <w:p w14:paraId="7DC6A2B3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2</w:t>
            </w:r>
          </w:p>
        </w:tc>
      </w:tr>
      <w:tr w14:paraId="52407F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</w:trPr>
        <w:tc>
          <w:tcPr>
            <w:tcW w:w="8188" w:type="dxa"/>
            <w:vAlign w:val="center"/>
          </w:tcPr>
          <w:p w14:paraId="4AE44C40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6 校准项目和校准方法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……………………………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……………………………</w:t>
            </w:r>
          </w:p>
        </w:tc>
        <w:tc>
          <w:tcPr>
            <w:tcW w:w="709" w:type="dxa"/>
            <w:vAlign w:val="center"/>
          </w:tcPr>
          <w:p w14:paraId="1D704655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2</w:t>
            </w:r>
          </w:p>
        </w:tc>
      </w:tr>
      <w:tr w14:paraId="33395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8188" w:type="dxa"/>
            <w:vAlign w:val="center"/>
          </w:tcPr>
          <w:p w14:paraId="29D0FC14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6</w:t>
            </w:r>
            <w:r>
              <w:rPr>
                <w:rFonts w:hAnsi="宋体" w:cs="宋体"/>
                <w:sz w:val="24"/>
                <w:szCs w:val="24"/>
                <w:shd w:val="clear" w:color="auto" w:fill="FFFFFF"/>
              </w:rPr>
              <w:t>.1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 xml:space="preserve"> 示值误差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……………………………………………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</w:t>
            </w:r>
          </w:p>
        </w:tc>
        <w:tc>
          <w:tcPr>
            <w:tcW w:w="709" w:type="dxa"/>
            <w:vAlign w:val="center"/>
          </w:tcPr>
          <w:p w14:paraId="66171942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2</w:t>
            </w:r>
          </w:p>
        </w:tc>
      </w:tr>
      <w:tr w14:paraId="0F85B9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8188" w:type="dxa"/>
            <w:vAlign w:val="center"/>
          </w:tcPr>
          <w:p w14:paraId="7C30F90E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</w:rPr>
              <w:t>6</w:t>
            </w:r>
            <w:r>
              <w:rPr>
                <w:rFonts w:hAnsi="宋体" w:cs="宋体"/>
                <w:sz w:val="24"/>
                <w:szCs w:val="24"/>
              </w:rPr>
              <w:t>.2</w:t>
            </w:r>
            <w:r>
              <w:rPr>
                <w:rFonts w:hint="eastAsia" w:hAnsi="宋体" w:cs="宋体"/>
                <w:sz w:val="24"/>
                <w:szCs w:val="24"/>
              </w:rPr>
              <w:t xml:space="preserve"> 重复性</w:t>
            </w:r>
            <w:r>
              <w:rPr>
                <w:rFonts w:hint="eastAsia" w:hAnsi="宋体" w:cs="宋体"/>
                <w:spacing w:val="4"/>
                <w:sz w:val="24"/>
                <w:szCs w:val="24"/>
                <w:shd w:val="clear" w:color="auto" w:fill="FFFFFF"/>
              </w:rPr>
              <w:t>………………………………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hAnsi="宋体" w:cs="宋体"/>
                <w:spacing w:val="4"/>
                <w:sz w:val="24"/>
                <w:szCs w:val="24"/>
                <w:shd w:val="clear" w:color="auto" w:fill="FFFFFF"/>
              </w:rPr>
              <w:t>……………………………………</w:t>
            </w:r>
          </w:p>
        </w:tc>
        <w:tc>
          <w:tcPr>
            <w:tcW w:w="709" w:type="dxa"/>
            <w:vAlign w:val="center"/>
          </w:tcPr>
          <w:p w14:paraId="20A69C62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2</w:t>
            </w:r>
          </w:p>
        </w:tc>
      </w:tr>
      <w:tr w14:paraId="5C1517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8188" w:type="dxa"/>
            <w:vAlign w:val="center"/>
          </w:tcPr>
          <w:p w14:paraId="22684820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 xml:space="preserve">6.3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稳定性</w:t>
            </w:r>
            <w:r>
              <w:rPr>
                <w:rFonts w:hint="eastAsia" w:hAnsi="宋体" w:cs="宋体"/>
                <w:sz w:val="24"/>
                <w:szCs w:val="24"/>
              </w:rPr>
              <w:t>…………………………………………………</w:t>
            </w:r>
            <w:r>
              <w:rPr>
                <w:rFonts w:hint="eastAsia" w:hAnsi="宋体" w:cs="宋体"/>
                <w:spacing w:val="4"/>
                <w:sz w:val="24"/>
                <w:szCs w:val="24"/>
                <w:shd w:val="clear" w:color="auto" w:fill="FFFFFF"/>
              </w:rPr>
              <w:t>………………………</w:t>
            </w:r>
          </w:p>
        </w:tc>
        <w:tc>
          <w:tcPr>
            <w:tcW w:w="709" w:type="dxa"/>
          </w:tcPr>
          <w:p w14:paraId="33C83F72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3</w:t>
            </w:r>
          </w:p>
        </w:tc>
      </w:tr>
    </w:tbl>
    <w:p w14:paraId="222CB33B">
      <w:pPr>
        <w:pStyle w:val="3"/>
        <w:tabs>
          <w:tab w:val="left" w:pos="8280"/>
        </w:tabs>
        <w:spacing w:line="360" w:lineRule="auto"/>
        <w:ind w:right="-107" w:rightChars="-51"/>
        <w:jc w:val="left"/>
        <w:rPr>
          <w:rFonts w:hAnsi="宋体" w:cs="宋体"/>
          <w:sz w:val="24"/>
          <w:szCs w:val="24"/>
        </w:rPr>
        <w:sectPr>
          <w:headerReference r:id="rId6" w:type="default"/>
          <w:footerReference r:id="rId7" w:type="default"/>
          <w:footerReference r:id="rId8" w:type="even"/>
          <w:pgSz w:w="11906" w:h="16838"/>
          <w:pgMar w:top="1440" w:right="1469" w:bottom="1440" w:left="1622" w:header="851" w:footer="992" w:gutter="0"/>
          <w:pgNumType w:fmt="upperRoman" w:start="1"/>
          <w:cols w:space="720" w:num="1"/>
          <w:docGrid w:type="lines" w:linePitch="312" w:charSpace="0"/>
        </w:sectPr>
      </w:pPr>
    </w:p>
    <w:tbl>
      <w:tblPr>
        <w:tblStyle w:val="8"/>
        <w:tblW w:w="889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8"/>
        <w:gridCol w:w="709"/>
      </w:tblGrid>
      <w:tr w14:paraId="0F3EE1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8188" w:type="dxa"/>
            <w:vAlign w:val="center"/>
          </w:tcPr>
          <w:p w14:paraId="7BD06022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</w:rPr>
              <w:t>7 校准结果表达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……………………………</w:t>
            </w:r>
          </w:p>
        </w:tc>
        <w:tc>
          <w:tcPr>
            <w:tcW w:w="709" w:type="dxa"/>
            <w:vAlign w:val="center"/>
          </w:tcPr>
          <w:p w14:paraId="6E9DC1B0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3</w:t>
            </w:r>
          </w:p>
        </w:tc>
      </w:tr>
      <w:tr w14:paraId="506004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</w:trPr>
        <w:tc>
          <w:tcPr>
            <w:tcW w:w="8188" w:type="dxa"/>
            <w:vAlign w:val="center"/>
          </w:tcPr>
          <w:p w14:paraId="205C2C3E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8 复校时间间隔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……………………………………………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…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……………………</w:t>
            </w:r>
          </w:p>
        </w:tc>
        <w:tc>
          <w:tcPr>
            <w:tcW w:w="709" w:type="dxa"/>
            <w:vAlign w:val="center"/>
          </w:tcPr>
          <w:p w14:paraId="454A36BB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4</w:t>
            </w:r>
          </w:p>
        </w:tc>
      </w:tr>
      <w:tr w14:paraId="4E64EC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</w:trPr>
        <w:tc>
          <w:tcPr>
            <w:tcW w:w="8188" w:type="dxa"/>
            <w:vAlign w:val="center"/>
          </w:tcPr>
          <w:p w14:paraId="11B8753C">
            <w:pPr>
              <w:pStyle w:val="3"/>
              <w:tabs>
                <w:tab w:val="left" w:pos="8280"/>
              </w:tabs>
              <w:spacing w:line="360" w:lineRule="auto"/>
              <w:ind w:left="240" w:right="-107" w:rightChars="-51" w:hanging="240" w:hangingChars="100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附录</w:t>
            </w:r>
            <w:r>
              <w:rPr>
                <w:rFonts w:hAnsi="宋体" w:cs="宋体"/>
                <w:sz w:val="24"/>
                <w:szCs w:val="24"/>
                <w:shd w:val="clear" w:color="auto" w:fill="FFFFFF"/>
              </w:rPr>
              <w:t xml:space="preserve">A 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氟化物标准溶液的配置……………………………………………………式……………………………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</w:t>
            </w:r>
          </w:p>
        </w:tc>
        <w:tc>
          <w:tcPr>
            <w:tcW w:w="709" w:type="dxa"/>
            <w:vAlign w:val="center"/>
          </w:tcPr>
          <w:p w14:paraId="639AC83E">
            <w:pPr>
              <w:pStyle w:val="3"/>
              <w:spacing w:line="360" w:lineRule="auto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5</w:t>
            </w:r>
          </w:p>
          <w:p w14:paraId="46B94E02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jc w:val="center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</w:p>
        </w:tc>
      </w:tr>
    </w:tbl>
    <w:p w14:paraId="73B0BB02">
      <w:pPr>
        <w:pStyle w:val="3"/>
        <w:tabs>
          <w:tab w:val="left" w:pos="8280"/>
        </w:tabs>
        <w:spacing w:line="360" w:lineRule="auto"/>
        <w:ind w:right="-107" w:rightChars="-51"/>
        <w:jc w:val="left"/>
        <w:rPr>
          <w:rFonts w:hAnsi="宋体" w:cs="宋体"/>
          <w:sz w:val="24"/>
          <w:szCs w:val="24"/>
          <w:shd w:val="clear" w:color="auto" w:fill="FFFFFF"/>
        </w:rPr>
        <w:sectPr>
          <w:footerReference r:id="rId9" w:type="default"/>
          <w:type w:val="continuous"/>
          <w:pgSz w:w="11906" w:h="16838"/>
          <w:pgMar w:top="1440" w:right="1469" w:bottom="1440" w:left="1622" w:header="851" w:footer="992" w:gutter="0"/>
          <w:pgNumType w:fmt="upperRoman" w:start="1"/>
          <w:cols w:space="720" w:num="1"/>
          <w:docGrid w:type="lines" w:linePitch="312" w:charSpace="0"/>
        </w:sectPr>
      </w:pPr>
    </w:p>
    <w:tbl>
      <w:tblPr>
        <w:tblStyle w:val="8"/>
        <w:tblW w:w="889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8"/>
        <w:gridCol w:w="709"/>
      </w:tblGrid>
      <w:tr w14:paraId="4CB04E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8188" w:type="dxa"/>
            <w:vAlign w:val="center"/>
          </w:tcPr>
          <w:p w14:paraId="2D37A08F">
            <w:pPr>
              <w:pStyle w:val="3"/>
              <w:tabs>
                <w:tab w:val="left" w:pos="8280"/>
              </w:tabs>
              <w:spacing w:line="360" w:lineRule="auto"/>
              <w:ind w:left="240" w:right="-107" w:rightChars="-51" w:hanging="240" w:hangingChars="100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附录B</w:t>
            </w:r>
            <w:r>
              <w:rPr>
                <w:rFonts w:hAnsi="宋体" w:cs="宋体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氟化物水质自动分析仪校准原始记录格式（推荐）……………………式……………………………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</w:t>
            </w:r>
          </w:p>
        </w:tc>
        <w:tc>
          <w:tcPr>
            <w:tcW w:w="709" w:type="dxa"/>
            <w:vAlign w:val="center"/>
          </w:tcPr>
          <w:p w14:paraId="24074907">
            <w:pPr>
              <w:pStyle w:val="3"/>
              <w:spacing w:line="360" w:lineRule="auto"/>
              <w:rPr>
                <w:rFonts w:hAnsi="宋体" w:cs="宋体"/>
                <w:bCs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6</w:t>
            </w:r>
          </w:p>
          <w:p w14:paraId="4BF3B687">
            <w:pPr>
              <w:pStyle w:val="3"/>
              <w:tabs>
                <w:tab w:val="left" w:pos="8280"/>
              </w:tabs>
              <w:spacing w:line="360" w:lineRule="auto"/>
              <w:ind w:right="23" w:rightChars="11"/>
              <w:jc w:val="center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</w:p>
        </w:tc>
      </w:tr>
      <w:tr w14:paraId="4E7D3E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</w:trPr>
        <w:tc>
          <w:tcPr>
            <w:tcW w:w="8188" w:type="dxa"/>
            <w:vAlign w:val="center"/>
          </w:tcPr>
          <w:p w14:paraId="1C15E2ED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附录C</w:t>
            </w:r>
            <w:r>
              <w:rPr>
                <w:rFonts w:hAnsi="宋体" w:cs="宋体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氟化物水质自动分析仪校准证书内页格式（推荐）……………………式…………………………</w:t>
            </w:r>
            <w:r>
              <w:rPr>
                <w:rFonts w:hint="eastAsia" w:hAnsi="宋体" w:cs="宋体"/>
                <w:spacing w:val="2"/>
                <w:sz w:val="24"/>
                <w:szCs w:val="24"/>
                <w:shd w:val="clear" w:color="auto" w:fill="FFFFFF"/>
              </w:rPr>
              <w:t>………………</w:t>
            </w:r>
          </w:p>
        </w:tc>
        <w:tc>
          <w:tcPr>
            <w:tcW w:w="709" w:type="dxa"/>
            <w:vAlign w:val="center"/>
          </w:tcPr>
          <w:p w14:paraId="7EA4B6FC">
            <w:pPr>
              <w:pStyle w:val="3"/>
              <w:spacing w:line="360" w:lineRule="auto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7</w:t>
            </w:r>
          </w:p>
        </w:tc>
      </w:tr>
    </w:tbl>
    <w:p w14:paraId="4AB0A0BE">
      <w:pPr>
        <w:pStyle w:val="3"/>
        <w:tabs>
          <w:tab w:val="left" w:pos="8280"/>
        </w:tabs>
        <w:spacing w:line="360" w:lineRule="auto"/>
        <w:ind w:right="-107" w:rightChars="-51"/>
        <w:jc w:val="left"/>
        <w:rPr>
          <w:rFonts w:hAnsi="宋体" w:cs="宋体"/>
          <w:sz w:val="24"/>
          <w:szCs w:val="24"/>
          <w:shd w:val="clear" w:color="auto" w:fill="FFFFFF"/>
        </w:rPr>
        <w:sectPr>
          <w:footerReference r:id="rId10" w:type="default"/>
          <w:type w:val="continuous"/>
          <w:pgSz w:w="11906" w:h="16838"/>
          <w:pgMar w:top="1440" w:right="1469" w:bottom="1440" w:left="1622" w:header="851" w:footer="992" w:gutter="0"/>
          <w:pgNumType w:fmt="upperRoman" w:start="1"/>
          <w:cols w:space="720" w:num="1"/>
          <w:docGrid w:type="lines" w:linePitch="312" w:charSpace="0"/>
        </w:sectPr>
      </w:pPr>
    </w:p>
    <w:tbl>
      <w:tblPr>
        <w:tblStyle w:val="8"/>
        <w:tblW w:w="889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8"/>
        <w:gridCol w:w="709"/>
      </w:tblGrid>
      <w:tr w14:paraId="50D1A7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</w:trPr>
        <w:tc>
          <w:tcPr>
            <w:tcW w:w="8188" w:type="dxa"/>
            <w:vAlign w:val="center"/>
          </w:tcPr>
          <w:p w14:paraId="5ADFB74B">
            <w:pPr>
              <w:pStyle w:val="3"/>
              <w:tabs>
                <w:tab w:val="left" w:pos="8280"/>
              </w:tabs>
              <w:spacing w:line="360" w:lineRule="auto"/>
              <w:ind w:right="-107" w:rightChars="-51"/>
              <w:jc w:val="left"/>
              <w:rPr>
                <w:rFonts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附录D 氟化物水质自动分析仪相对示值误差校准结果的不确定度评定示例…例…………………………………………</w:t>
            </w:r>
          </w:p>
        </w:tc>
        <w:tc>
          <w:tcPr>
            <w:tcW w:w="709" w:type="dxa"/>
            <w:vAlign w:val="center"/>
          </w:tcPr>
          <w:p w14:paraId="5EF84801">
            <w:pPr>
              <w:pStyle w:val="3"/>
              <w:spacing w:line="360" w:lineRule="auto"/>
              <w:rPr>
                <w:rFonts w:hAns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hAnsi="宋体" w:cs="宋体"/>
                <w:sz w:val="24"/>
                <w:szCs w:val="24"/>
                <w:shd w:val="clear" w:color="auto" w:fill="FFFFFF"/>
              </w:rPr>
              <w:t>8</w:t>
            </w:r>
          </w:p>
        </w:tc>
      </w:tr>
    </w:tbl>
    <w:p w14:paraId="33AC6E0B">
      <w:pPr>
        <w:pStyle w:val="3"/>
        <w:tabs>
          <w:tab w:val="left" w:pos="8100"/>
        </w:tabs>
        <w:spacing w:line="520" w:lineRule="exact"/>
        <w:ind w:right="206" w:rightChars="98"/>
        <w:rPr>
          <w:rFonts w:ascii="Times New Roman" w:hAnsi="Times New Roman" w:eastAsia="黑体"/>
          <w:sz w:val="52"/>
          <w:szCs w:val="52"/>
        </w:rPr>
      </w:pPr>
    </w:p>
    <w:p w14:paraId="5D2D21CE">
      <w:pPr>
        <w:pStyle w:val="3"/>
        <w:tabs>
          <w:tab w:val="left" w:pos="8100"/>
        </w:tabs>
        <w:spacing w:line="240" w:lineRule="exact"/>
        <w:ind w:right="206" w:rightChars="98"/>
        <w:jc w:val="center"/>
        <w:rPr>
          <w:rFonts w:ascii="Times New Roman" w:hAnsi="Times New Roman" w:eastAsia="黑体"/>
          <w:sz w:val="52"/>
          <w:szCs w:val="52"/>
        </w:rPr>
      </w:pPr>
    </w:p>
    <w:p w14:paraId="210AFD6C">
      <w:pPr>
        <w:pStyle w:val="3"/>
        <w:tabs>
          <w:tab w:val="left" w:pos="8100"/>
        </w:tabs>
        <w:spacing w:line="520" w:lineRule="exact"/>
        <w:ind w:right="206" w:rightChars="98"/>
        <w:jc w:val="center"/>
        <w:rPr>
          <w:rFonts w:ascii="Times New Roman" w:hAnsi="Times New Roman" w:eastAsia="黑体"/>
          <w:sz w:val="52"/>
          <w:szCs w:val="52"/>
        </w:rPr>
      </w:pPr>
    </w:p>
    <w:p w14:paraId="023A1A47">
      <w:pPr>
        <w:pStyle w:val="3"/>
        <w:tabs>
          <w:tab w:val="left" w:pos="8100"/>
        </w:tabs>
        <w:spacing w:line="520" w:lineRule="exact"/>
        <w:ind w:right="206" w:rightChars="98"/>
        <w:jc w:val="center"/>
        <w:rPr>
          <w:rFonts w:ascii="Times New Roman" w:hAnsi="Times New Roman" w:eastAsia="黑体"/>
          <w:sz w:val="52"/>
          <w:szCs w:val="52"/>
        </w:rPr>
      </w:pPr>
      <w:r>
        <w:rPr>
          <w:rFonts w:hint="eastAsia" w:ascii="Times New Roman" w:hAnsi="Times New Roman" w:eastAsia="黑体"/>
          <w:sz w:val="52"/>
          <w:szCs w:val="52"/>
        </w:rPr>
        <w:t>引</w:t>
      </w:r>
      <w:r>
        <w:rPr>
          <w:rFonts w:ascii="Times New Roman" w:hAnsi="Times New Roman" w:eastAsia="黑体"/>
          <w:sz w:val="52"/>
          <w:szCs w:val="52"/>
        </w:rPr>
        <w:t xml:space="preserve"> </w:t>
      </w:r>
      <w:r>
        <w:rPr>
          <w:rFonts w:hint="eastAsia" w:ascii="Times New Roman" w:hAnsi="Times New Roman" w:eastAsia="黑体"/>
          <w:sz w:val="52"/>
          <w:szCs w:val="52"/>
        </w:rPr>
        <w:t>言</w:t>
      </w:r>
    </w:p>
    <w:p w14:paraId="0BB23E42">
      <w:pPr>
        <w:pStyle w:val="3"/>
        <w:tabs>
          <w:tab w:val="left" w:pos="8100"/>
        </w:tabs>
        <w:spacing w:line="520" w:lineRule="exact"/>
        <w:ind w:right="206" w:rightChars="98"/>
        <w:jc w:val="center"/>
        <w:rPr>
          <w:rFonts w:ascii="Times New Roman" w:hAnsi="Times New Roman" w:eastAsia="黑体"/>
          <w:sz w:val="52"/>
          <w:szCs w:val="52"/>
        </w:rPr>
      </w:pPr>
    </w:p>
    <w:p w14:paraId="3F907DBE">
      <w:pPr>
        <w:pStyle w:val="3"/>
        <w:spacing w:line="440" w:lineRule="exact"/>
        <w:ind w:left="-2" w:leftChars="-1" w:right="25" w:rightChars="12" w:firstLine="480" w:firstLineChars="200"/>
        <w:rPr>
          <w:rFonts w:hAnsi="宋体" w:cs="宋体"/>
          <w:sz w:val="24"/>
        </w:rPr>
      </w:pPr>
      <w:r>
        <w:rPr>
          <w:rFonts w:hint="eastAsia" w:hAnsi="宋体" w:cs="宋体"/>
          <w:bCs/>
          <w:sz w:val="24"/>
          <w:szCs w:val="24"/>
        </w:rPr>
        <w:t>JJF1001-2011《通用计量术语及定义》、JJF1071-2010《国家计量校准规范编写规则》和JJF1059.1-2012《测量不确定度评定与表示》共同构成本规范制订的基础性系列规范。</w:t>
      </w:r>
    </w:p>
    <w:p w14:paraId="152824A2">
      <w:pPr>
        <w:spacing w:line="440" w:lineRule="exact"/>
        <w:ind w:firstLine="480" w:firstLineChars="20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本规范为首次发布。</w:t>
      </w:r>
    </w:p>
    <w:p w14:paraId="13DACE25"/>
    <w:p w14:paraId="61E12D4F">
      <w:pPr>
        <w:pStyle w:val="3"/>
        <w:spacing w:line="440" w:lineRule="exact"/>
        <w:rPr>
          <w:rFonts w:ascii="Times New Roman" w:hAnsi="Times New Roman"/>
        </w:rPr>
        <w:sectPr>
          <w:footerReference r:id="rId11" w:type="default"/>
          <w:type w:val="continuous"/>
          <w:pgSz w:w="11906" w:h="16838"/>
          <w:pgMar w:top="1440" w:right="1469" w:bottom="1440" w:left="1622" w:header="851" w:footer="992" w:gutter="0"/>
          <w:pgNumType w:fmt="upperRoman" w:start="1"/>
          <w:cols w:space="720" w:num="1"/>
          <w:docGrid w:type="lines" w:linePitch="312" w:charSpace="0"/>
        </w:sectPr>
      </w:pPr>
    </w:p>
    <w:p w14:paraId="1B665190">
      <w:pPr>
        <w:pStyle w:val="3"/>
        <w:spacing w:line="440" w:lineRule="exact"/>
        <w:rPr>
          <w:rFonts w:ascii="Times New Roman" w:hAnsi="Times New Roman"/>
        </w:rPr>
      </w:pPr>
    </w:p>
    <w:p w14:paraId="6EC5DC57">
      <w:pPr>
        <w:pStyle w:val="3"/>
        <w:spacing w:line="44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6E273949">
      <w:pPr>
        <w:pStyle w:val="3"/>
        <w:spacing w:line="440" w:lineRule="exact"/>
        <w:jc w:val="center"/>
        <w:rPr>
          <w:rFonts w:ascii="Times New Roman" w:hAnsi="Times New Roman" w:eastAsia="黑体"/>
          <w:bCs/>
          <w:sz w:val="32"/>
        </w:rPr>
      </w:pPr>
      <w:r>
        <w:rPr>
          <w:rFonts w:hint="eastAsia" w:ascii="Times New Roman" w:hAnsi="Times New Roman" w:eastAsia="黑体"/>
          <w:bCs/>
          <w:sz w:val="32"/>
        </w:rPr>
        <w:t>氟化物水质自动分析仪校准规范</w:t>
      </w:r>
    </w:p>
    <w:p w14:paraId="2C9C2D69">
      <w:pPr>
        <w:pStyle w:val="3"/>
        <w:spacing w:before="312" w:beforeLines="100" w:line="440" w:lineRule="exact"/>
        <w:ind w:right="25" w:rightChars="12"/>
        <w:rPr>
          <w:rFonts w:ascii="Times New Roman" w:hAnsi="Times New Roman" w:eastAsia="黑体"/>
          <w:sz w:val="24"/>
        </w:rPr>
      </w:pPr>
      <w:r>
        <w:rPr>
          <w:rFonts w:ascii="Times New Roman" w:hAnsi="Times New Roman" w:eastAsia="黑体"/>
          <w:sz w:val="24"/>
        </w:rPr>
        <w:t xml:space="preserve">1 </w:t>
      </w:r>
      <w:r>
        <w:rPr>
          <w:rFonts w:hint="eastAsia" w:ascii="Times New Roman" w:hAnsi="Times New Roman" w:eastAsia="黑体"/>
          <w:sz w:val="24"/>
        </w:rPr>
        <w:t>范围</w:t>
      </w:r>
    </w:p>
    <w:p w14:paraId="77E3E7AC">
      <w:pPr>
        <w:spacing w:line="440" w:lineRule="exact"/>
        <w:ind w:right="12"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本规范适用于测量范围为（0</w:t>
      </w:r>
      <w:r>
        <w:rPr>
          <w:rFonts w:hint="eastAsia" w:ascii="宋体" w:hAnsi="宋体"/>
          <w:sz w:val="24"/>
        </w:rPr>
        <w:t>～</w:t>
      </w:r>
      <w:r>
        <w:rPr>
          <w:rFonts w:hint="eastAsia" w:ascii="Times New Roman" w:hAnsi="Times New Roman"/>
          <w:sz w:val="24"/>
        </w:rPr>
        <w:t>50）mg/L的氟化物水质自动分析仪的校准。</w:t>
      </w:r>
    </w:p>
    <w:p w14:paraId="50C6FAF2">
      <w:pPr>
        <w:spacing w:line="440" w:lineRule="exact"/>
        <w:ind w:right="12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2 引用文件</w:t>
      </w:r>
    </w:p>
    <w:p w14:paraId="3273D699">
      <w:pPr>
        <w:tabs>
          <w:tab w:val="left" w:pos="315"/>
        </w:tabs>
        <w:spacing w:line="440" w:lineRule="exact"/>
        <w:ind w:right="25" w:rightChars="12" w:firstLine="518" w:firstLineChars="216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本规范引用了以下文件：</w:t>
      </w:r>
    </w:p>
    <w:p w14:paraId="33F6A46A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JJG 1012-2019 化学需氧量（COD）在线自动监测仪</w:t>
      </w:r>
    </w:p>
    <w:p w14:paraId="5FEDC489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GB/T 7484-1987 水质 氟化物的测定 离子选择电极法</w:t>
      </w:r>
    </w:p>
    <w:p w14:paraId="1BA7E9A9">
      <w:pPr>
        <w:spacing w:line="440" w:lineRule="exact"/>
        <w:ind w:left="-2" w:leftChars="-1" w:right="25" w:rightChars="12"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HJ 488-2009 水质 氟化物的测定 氟试剂分光光度法</w:t>
      </w:r>
    </w:p>
    <w:p w14:paraId="0D89891B">
      <w:pPr>
        <w:spacing w:line="440" w:lineRule="exact"/>
        <w:ind w:left="-2" w:leftChars="-1" w:right="25" w:rightChars="12" w:firstLine="480" w:firstLineChars="20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凡是注日期的引用文件，仅注日期的版本适用于该规范；凡是不注日期的引用文件，其最新版本（包括所有的修改单）适用于本规范。</w:t>
      </w:r>
    </w:p>
    <w:p w14:paraId="03284A51">
      <w:pPr>
        <w:pStyle w:val="3"/>
        <w:spacing w:before="156" w:beforeLines="50" w:line="360" w:lineRule="auto"/>
        <w:ind w:left="-420" w:leftChars="-200" w:right="25" w:rightChars="12" w:firstLine="417" w:firstLineChars="174"/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</w:rPr>
        <w:t>3</w:t>
      </w:r>
      <w:r>
        <w:rPr>
          <w:rFonts w:ascii="Times New Roman" w:hAnsi="Times New Roman" w:eastAsia="黑体"/>
          <w:sz w:val="24"/>
        </w:rPr>
        <w:t xml:space="preserve"> </w:t>
      </w:r>
      <w:r>
        <w:rPr>
          <w:rFonts w:hint="eastAsia" w:ascii="Times New Roman" w:hAnsi="Times New Roman" w:eastAsia="黑体"/>
          <w:sz w:val="24"/>
        </w:rPr>
        <w:t>概述</w:t>
      </w:r>
    </w:p>
    <w:p w14:paraId="28307AFB">
      <w:pPr>
        <w:spacing w:line="440" w:lineRule="exact"/>
        <w:ind w:right="12" w:firstLine="480" w:firstLineChars="200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氟化物水质自动分析仪（以下简称分析仪）用于自动测量地表水、生活污水和工业废水等水体中氟化物的含量，一般由采样单元、水样预处理单元、检测单元和数据处理单元组成。</w:t>
      </w:r>
    </w:p>
    <w:p w14:paraId="157E07B2">
      <w:pPr>
        <w:spacing w:line="440" w:lineRule="exact"/>
        <w:ind w:right="12" w:firstLine="480" w:firstLineChars="200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分析仪的测量方法主要有离子选择电极法和分光光度法。离子选择电极法原理：水样中的氟离子与离子选择电极进行离子交换，产生相应的膜电势，膜电势的大小与氟离子活度的对数成线性关系，通过测量膜电势测定水样中的氟化物含量。分光光度法原理：水样中的氟化物与指示剂反应后显色，通过测量特定波长处的吸光度值测定水样中的氟化物含量。</w:t>
      </w:r>
    </w:p>
    <w:p w14:paraId="2C62BFF5">
      <w:pPr>
        <w:pStyle w:val="3"/>
        <w:spacing w:before="156" w:beforeLines="50" w:line="360" w:lineRule="auto"/>
        <w:ind w:right="25" w:rightChars="12"/>
        <w:rPr>
          <w:rFonts w:ascii="Times New Roman" w:hAnsi="Times New Roman"/>
          <w:bCs/>
          <w:sz w:val="24"/>
        </w:rPr>
      </w:pPr>
      <w:r>
        <w:rPr>
          <w:rFonts w:hint="eastAsia" w:ascii="Times New Roman" w:hAnsi="Times New Roman" w:eastAsia="黑体"/>
          <w:sz w:val="24"/>
        </w:rPr>
        <w:t>4</w:t>
      </w:r>
      <w:r>
        <w:rPr>
          <w:rFonts w:ascii="Times New Roman" w:hAnsi="Times New Roman" w:eastAsia="黑体"/>
          <w:sz w:val="24"/>
        </w:rPr>
        <w:t xml:space="preserve"> </w:t>
      </w:r>
      <w:r>
        <w:rPr>
          <w:rFonts w:hint="eastAsia" w:ascii="Times New Roman" w:hAnsi="Times New Roman" w:eastAsia="黑体"/>
          <w:sz w:val="24"/>
          <w:shd w:val="clear" w:color="auto" w:fill="FFFFFF"/>
        </w:rPr>
        <w:t>计量特性</w:t>
      </w:r>
    </w:p>
    <w:p w14:paraId="0C844922">
      <w:pPr>
        <w:spacing w:line="440" w:lineRule="exact"/>
        <w:ind w:right="12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4.1 示值误差</w:t>
      </w:r>
    </w:p>
    <w:p w14:paraId="1483F8F4">
      <w:pPr>
        <w:spacing w:line="440" w:lineRule="exact"/>
        <w:ind w:right="12" w:firstLine="480" w:firstLineChars="200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测量范围</w:t>
      </w:r>
      <w:r>
        <w:rPr>
          <w:rFonts w:hint="eastAsia"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小于等于2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mg/L：最大允许误差：±0.2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mg/L</w:t>
      </w:r>
      <w:r>
        <w:rPr>
          <w:rFonts w:hint="eastAsia"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测量范围</w:t>
      </w:r>
      <w:r>
        <w:rPr>
          <w:rFonts w:hint="eastAsia"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大于2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mg/L：最大允许误差：±10 %。</w:t>
      </w:r>
    </w:p>
    <w:p w14:paraId="64037B0F">
      <w:pPr>
        <w:spacing w:line="440" w:lineRule="exact"/>
        <w:ind w:right="12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.2 重复性</w:t>
      </w:r>
    </w:p>
    <w:p w14:paraId="32C46DA4">
      <w:pPr>
        <w:spacing w:line="440" w:lineRule="exact"/>
        <w:ind w:right="12" w:firstLine="480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不大于5%。</w:t>
      </w:r>
    </w:p>
    <w:p w14:paraId="7DDCB190">
      <w:pPr>
        <w:spacing w:line="440" w:lineRule="exact"/>
        <w:ind w:right="12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.3 稳定性</w:t>
      </w:r>
    </w:p>
    <w:p w14:paraId="676797EA">
      <w:pPr>
        <w:spacing w:line="440" w:lineRule="exact"/>
        <w:ind w:right="12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±10 %。</w:t>
      </w:r>
    </w:p>
    <w:p w14:paraId="1655F2EC">
      <w:pPr>
        <w:spacing w:line="440" w:lineRule="exact"/>
        <w:ind w:right="12"/>
        <w:rPr>
          <w:rFonts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注：以上各项指标不做合格判定依据，仅供校准及测量不确定度评定时参考。</w:t>
      </w:r>
    </w:p>
    <w:p w14:paraId="10F908D1">
      <w:pPr>
        <w:pStyle w:val="3"/>
        <w:spacing w:before="156" w:beforeLines="50" w:line="480" w:lineRule="auto"/>
        <w:ind w:left="-420" w:right="25" w:rightChars="12" w:firstLine="417" w:firstLineChars="174"/>
        <w:rPr>
          <w:rFonts w:ascii="Times New Roman" w:hAnsi="Times New Roman"/>
          <w:bCs/>
          <w:sz w:val="24"/>
        </w:rPr>
      </w:pPr>
      <w:r>
        <w:rPr>
          <w:rFonts w:hint="eastAsia" w:ascii="Times New Roman" w:hAnsi="Times New Roman" w:eastAsia="黑体"/>
          <w:sz w:val="24"/>
        </w:rPr>
        <w:t>5</w:t>
      </w:r>
      <w:r>
        <w:rPr>
          <w:rFonts w:ascii="Times New Roman" w:hAnsi="Times New Roman" w:eastAsia="黑体"/>
          <w:sz w:val="24"/>
        </w:rPr>
        <w:t xml:space="preserve"> </w:t>
      </w:r>
      <w:r>
        <w:rPr>
          <w:rFonts w:hint="eastAsia" w:ascii="Times New Roman" w:hAnsi="Times New Roman" w:eastAsia="黑体"/>
          <w:sz w:val="24"/>
        </w:rPr>
        <w:t>校准条件</w:t>
      </w:r>
    </w:p>
    <w:p w14:paraId="469939D7">
      <w:pPr>
        <w:spacing w:line="360" w:lineRule="auto"/>
        <w:ind w:right="11" w:hanging="1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5</w:t>
      </w:r>
      <w:r>
        <w:rPr>
          <w:rFonts w:ascii="宋体" w:hAnsi="宋体" w:cs="宋体"/>
          <w:sz w:val="24"/>
        </w:rPr>
        <w:t xml:space="preserve">.1 </w:t>
      </w:r>
      <w:r>
        <w:rPr>
          <w:rFonts w:hint="eastAsia" w:ascii="宋体" w:hAnsi="宋体" w:cs="宋体"/>
          <w:sz w:val="24"/>
        </w:rPr>
        <w:t>环境条件</w:t>
      </w:r>
    </w:p>
    <w:p w14:paraId="4727AC0E">
      <w:pPr>
        <w:tabs>
          <w:tab w:val="left" w:pos="0"/>
        </w:tabs>
        <w:spacing w:line="360" w:lineRule="auto"/>
        <w:ind w:right="11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5</w:t>
      </w:r>
      <w:r>
        <w:rPr>
          <w:rFonts w:ascii="宋体" w:hAnsi="宋体" w:cs="宋体"/>
          <w:sz w:val="24"/>
        </w:rPr>
        <w:t xml:space="preserve">.1.1 </w:t>
      </w:r>
      <w:r>
        <w:rPr>
          <w:rFonts w:hint="eastAsia" w:ascii="宋体" w:hAnsi="宋体" w:cs="宋体"/>
          <w:sz w:val="24"/>
        </w:rPr>
        <w:t>环境温度：（</w:t>
      </w:r>
      <w:r>
        <w:rPr>
          <w:rFonts w:ascii="宋体" w:hAnsi="宋体" w:cs="宋体"/>
          <w:sz w:val="24"/>
        </w:rPr>
        <w:t>5</w:t>
      </w:r>
      <w:r>
        <w:rPr>
          <w:rFonts w:hint="eastAsia" w:ascii="宋体" w:hAnsi="宋体" w:cs="宋体"/>
          <w:sz w:val="24"/>
        </w:rPr>
        <w:t>～</w:t>
      </w:r>
      <w:r>
        <w:rPr>
          <w:rFonts w:ascii="宋体" w:hAnsi="宋体" w:cs="宋体"/>
          <w:sz w:val="24"/>
        </w:rPr>
        <w:t>40</w:t>
      </w:r>
      <w:r>
        <w:rPr>
          <w:rFonts w:hint="eastAsia" w:ascii="宋体" w:hAnsi="宋体" w:cs="宋体"/>
          <w:sz w:val="24"/>
        </w:rPr>
        <w:t>）℃。</w:t>
      </w:r>
    </w:p>
    <w:p w14:paraId="732D05DC">
      <w:pPr>
        <w:tabs>
          <w:tab w:val="left" w:pos="0"/>
        </w:tabs>
        <w:spacing w:line="360" w:lineRule="auto"/>
        <w:ind w:right="11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5</w:t>
      </w:r>
      <w:r>
        <w:rPr>
          <w:rFonts w:ascii="宋体" w:hAnsi="宋体" w:cs="宋体"/>
          <w:sz w:val="24"/>
        </w:rPr>
        <w:t xml:space="preserve">.1.2 </w:t>
      </w:r>
      <w:r>
        <w:rPr>
          <w:rFonts w:hint="eastAsia" w:ascii="宋体" w:hAnsi="宋体" w:cs="宋体"/>
          <w:sz w:val="24"/>
        </w:rPr>
        <w:t>相对湿度：不大于</w:t>
      </w:r>
      <w:r>
        <w:rPr>
          <w:rFonts w:ascii="宋体" w:hAnsi="宋体" w:cs="宋体"/>
          <w:sz w:val="24"/>
        </w:rPr>
        <w:t>80%</w:t>
      </w:r>
      <w:r>
        <w:rPr>
          <w:rFonts w:hint="eastAsia" w:ascii="宋体" w:hAnsi="宋体" w:cs="宋体"/>
          <w:sz w:val="24"/>
        </w:rPr>
        <w:t>。</w:t>
      </w:r>
    </w:p>
    <w:p w14:paraId="6204093C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</w:t>
      </w:r>
      <w:r>
        <w:rPr>
          <w:rFonts w:ascii="宋体" w:hAnsi="宋体" w:cs="宋体"/>
          <w:sz w:val="24"/>
        </w:rPr>
        <w:t xml:space="preserve">.1.3 </w:t>
      </w:r>
      <w:r>
        <w:rPr>
          <w:rFonts w:hint="eastAsia" w:ascii="宋体" w:hAnsi="宋体" w:cs="宋体"/>
          <w:sz w:val="24"/>
        </w:rPr>
        <w:t>电源电压及频率：</w:t>
      </w:r>
      <w:r>
        <w:rPr>
          <w:rFonts w:ascii="宋体" w:hAnsi="宋体" w:cs="宋体"/>
          <w:sz w:val="24"/>
        </w:rPr>
        <w:t>(220</w:t>
      </w:r>
      <w:r>
        <w:rPr>
          <w:rFonts w:hint="eastAsia" w:ascii="宋体" w:hAnsi="宋体" w:cs="宋体"/>
          <w:sz w:val="24"/>
        </w:rPr>
        <w:t>±</w:t>
      </w:r>
      <w:r>
        <w:rPr>
          <w:rFonts w:ascii="宋体" w:hAnsi="宋体" w:cs="宋体"/>
          <w:sz w:val="24"/>
        </w:rPr>
        <w:t>22) V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(50</w:t>
      </w:r>
      <w:r>
        <w:rPr>
          <w:rFonts w:hint="eastAsia" w:ascii="宋体" w:hAnsi="宋体" w:cs="宋体"/>
          <w:sz w:val="24"/>
        </w:rPr>
        <w:t>±</w:t>
      </w:r>
      <w:r>
        <w:rPr>
          <w:rFonts w:ascii="宋体" w:hAnsi="宋体" w:cs="宋体"/>
          <w:sz w:val="24"/>
        </w:rPr>
        <w:t>1) Hz</w:t>
      </w:r>
      <w:r>
        <w:rPr>
          <w:rFonts w:hint="eastAsia" w:ascii="宋体" w:hAnsi="宋体" w:cs="宋体"/>
          <w:sz w:val="24"/>
        </w:rPr>
        <w:t>。</w:t>
      </w:r>
    </w:p>
    <w:p w14:paraId="17068AC7">
      <w:pPr>
        <w:spacing w:line="360" w:lineRule="auto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5.1.4 周围无影响正常校准的电磁干扰和机械振动。</w:t>
      </w:r>
    </w:p>
    <w:p w14:paraId="2FE1E2F2">
      <w:pPr>
        <w:spacing w:line="440" w:lineRule="exact"/>
        <w:rPr>
          <w:rFonts w:hAnsi="宋体" w:cs="宋体"/>
          <w:spacing w:val="2"/>
          <w:sz w:val="24"/>
          <w:shd w:val="clear" w:color="auto" w:fill="FFFFFF"/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.2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宋体" w:cs="宋体"/>
          <w:spacing w:val="2"/>
          <w:sz w:val="24"/>
          <w:shd w:val="clear" w:color="auto" w:fill="FFFFFF"/>
        </w:rPr>
        <w:t>测量标准及其他设备</w:t>
      </w:r>
    </w:p>
    <w:p w14:paraId="422DAB2F">
      <w:pPr>
        <w:spacing w:line="440" w:lineRule="exact"/>
        <w:rPr>
          <w:rFonts w:ascii="宋体" w:hAnsi="宋体" w:cs="宋体"/>
          <w:spacing w:val="2"/>
          <w:sz w:val="24"/>
          <w:shd w:val="clear" w:color="auto" w:fill="FFFFFF"/>
        </w:rPr>
      </w:pPr>
      <w:r>
        <w:rPr>
          <w:rFonts w:hint="eastAsia" w:ascii="宋体" w:hAnsi="宋体" w:cs="宋体"/>
          <w:spacing w:val="2"/>
          <w:sz w:val="24"/>
          <w:shd w:val="clear" w:color="auto" w:fill="FFFFFF"/>
        </w:rPr>
        <w:t>5.2.1 校准用标准溶液：</w:t>
      </w:r>
    </w:p>
    <w:p w14:paraId="5BF89A20">
      <w:pPr>
        <w:spacing w:line="440" w:lineRule="exact"/>
        <w:ind w:firstLine="488" w:firstLineChars="200"/>
        <w:rPr>
          <w:rFonts w:ascii="宋体" w:hAnsi="宋体" w:cs="宋体"/>
          <w:spacing w:val="2"/>
          <w:sz w:val="24"/>
          <w:shd w:val="clear" w:color="auto" w:fill="FFFFFF"/>
        </w:rPr>
      </w:pPr>
      <w:r>
        <w:rPr>
          <w:rFonts w:hint="eastAsia" w:ascii="宋体" w:hAnsi="宋体" w:cs="宋体"/>
          <w:spacing w:val="2"/>
          <w:sz w:val="24"/>
          <w:shd w:val="clear" w:color="auto" w:fill="FFFFFF"/>
        </w:rPr>
        <w:t>氟化物有证标准物质，相对扩展不确定度不大于2</w:t>
      </w:r>
      <w:r>
        <w:rPr>
          <w:rFonts w:ascii="宋体" w:hAnsi="宋体" w:cs="宋体"/>
          <w:spacing w:val="2"/>
          <w:sz w:val="24"/>
          <w:shd w:val="clear" w:color="auto" w:fill="FFFFFF"/>
        </w:rPr>
        <w:t>%</w:t>
      </w:r>
      <w:r>
        <w:rPr>
          <w:rFonts w:hint="eastAsia" w:ascii="宋体" w:hAnsi="宋体" w:cs="宋体"/>
          <w:spacing w:val="2"/>
          <w:sz w:val="24"/>
          <w:shd w:val="clear" w:color="auto" w:fill="FFFFFF"/>
        </w:rPr>
        <w:t>（</w:t>
      </w:r>
      <w:r>
        <w:rPr>
          <w:rFonts w:ascii="宋体" w:hAnsi="宋体" w:cs="宋体"/>
          <w:i/>
          <w:spacing w:val="2"/>
          <w:sz w:val="24"/>
          <w:shd w:val="clear" w:color="auto" w:fill="FFFFFF"/>
        </w:rPr>
        <w:t>k</w:t>
      </w:r>
      <w:r>
        <w:rPr>
          <w:rFonts w:ascii="宋体" w:hAnsi="宋体" w:cs="宋体"/>
          <w:spacing w:val="2"/>
          <w:sz w:val="24"/>
          <w:shd w:val="clear" w:color="auto" w:fill="FFFFFF"/>
        </w:rPr>
        <w:t>=2</w:t>
      </w:r>
      <w:r>
        <w:rPr>
          <w:rFonts w:hint="eastAsia" w:ascii="宋体" w:hAnsi="宋体" w:cs="宋体"/>
          <w:spacing w:val="2"/>
          <w:sz w:val="24"/>
          <w:shd w:val="clear" w:color="auto" w:fill="FFFFFF"/>
        </w:rPr>
        <w:t>）；</w:t>
      </w:r>
    </w:p>
    <w:p w14:paraId="6EA1902E">
      <w:pPr>
        <w:spacing w:line="440" w:lineRule="exact"/>
        <w:ind w:firstLine="488" w:firstLineChars="200"/>
        <w:rPr>
          <w:rFonts w:ascii="宋体" w:hAnsi="宋体" w:cs="宋体"/>
          <w:spacing w:val="2"/>
          <w:sz w:val="24"/>
          <w:shd w:val="clear" w:color="auto" w:fill="FFFFFF"/>
        </w:rPr>
      </w:pPr>
      <w:r>
        <w:rPr>
          <w:rFonts w:hint="eastAsia" w:ascii="宋体" w:hAnsi="宋体" w:cs="宋体"/>
          <w:spacing w:val="2"/>
          <w:sz w:val="24"/>
          <w:shd w:val="clear" w:color="auto" w:fill="FFFFFF"/>
        </w:rPr>
        <w:t>氟化物标准溶液（配置方法见附录A），相对扩展不确定度不大于3</w:t>
      </w:r>
      <w:r>
        <w:rPr>
          <w:rFonts w:ascii="宋体" w:hAnsi="宋体" w:cs="宋体"/>
          <w:spacing w:val="2"/>
          <w:sz w:val="24"/>
          <w:shd w:val="clear" w:color="auto" w:fill="FFFFFF"/>
        </w:rPr>
        <w:t>%</w:t>
      </w:r>
      <w:r>
        <w:rPr>
          <w:rFonts w:hint="eastAsia" w:ascii="宋体" w:hAnsi="宋体" w:cs="宋体"/>
          <w:spacing w:val="2"/>
          <w:sz w:val="24"/>
          <w:shd w:val="clear" w:color="auto" w:fill="FFFFFF"/>
        </w:rPr>
        <w:t>（</w:t>
      </w:r>
      <w:r>
        <w:rPr>
          <w:rFonts w:ascii="宋体" w:hAnsi="宋体" w:cs="宋体"/>
          <w:i/>
          <w:spacing w:val="2"/>
          <w:sz w:val="24"/>
          <w:shd w:val="clear" w:color="auto" w:fill="FFFFFF"/>
        </w:rPr>
        <w:t>k</w:t>
      </w:r>
      <w:r>
        <w:rPr>
          <w:rFonts w:ascii="宋体" w:hAnsi="宋体" w:cs="宋体"/>
          <w:spacing w:val="2"/>
          <w:sz w:val="24"/>
          <w:shd w:val="clear" w:color="auto" w:fill="FFFFFF"/>
        </w:rPr>
        <w:t>=2</w:t>
      </w:r>
      <w:r>
        <w:rPr>
          <w:rFonts w:hint="eastAsia" w:ascii="宋体" w:hAnsi="宋体" w:cs="宋体"/>
          <w:spacing w:val="2"/>
          <w:sz w:val="24"/>
          <w:shd w:val="clear" w:color="auto" w:fill="FFFFFF"/>
        </w:rPr>
        <w:t>）。</w:t>
      </w:r>
    </w:p>
    <w:p w14:paraId="2A0E5398">
      <w:pPr>
        <w:spacing w:line="440" w:lineRule="exact"/>
        <w:rPr>
          <w:rFonts w:ascii="宋体" w:hAnsi="宋体" w:cs="宋体"/>
          <w:spacing w:val="2"/>
          <w:sz w:val="24"/>
          <w:shd w:val="clear" w:color="auto" w:fill="FFFFFF"/>
        </w:rPr>
      </w:pPr>
      <w:r>
        <w:rPr>
          <w:rFonts w:hint="eastAsia" w:ascii="宋体" w:hAnsi="宋体" w:cs="宋体"/>
          <w:spacing w:val="2"/>
          <w:sz w:val="24"/>
          <w:shd w:val="clear" w:color="auto" w:fill="FFFFFF"/>
        </w:rPr>
        <w:t>5.2.2 单标线吸量管、单标线容量瓶：A级。</w:t>
      </w:r>
    </w:p>
    <w:p w14:paraId="7AA30CA0">
      <w:pPr>
        <w:spacing w:line="440" w:lineRule="exact"/>
        <w:rPr>
          <w:rFonts w:ascii="宋体" w:hAnsi="宋体" w:cs="宋体"/>
          <w:spacing w:val="2"/>
          <w:sz w:val="24"/>
          <w:shd w:val="clear" w:color="auto" w:fill="FFFFFF"/>
        </w:rPr>
      </w:pPr>
      <w:r>
        <w:rPr>
          <w:rFonts w:hint="eastAsia" w:ascii="宋体" w:hAnsi="宋体" w:cs="宋体"/>
          <w:spacing w:val="2"/>
          <w:sz w:val="24"/>
          <w:shd w:val="clear" w:color="auto" w:fill="FFFFFF"/>
        </w:rPr>
        <w:t>5.2.3 电子秒表：分辨力：0.1s，最大允许误差：±0.5s/d。</w:t>
      </w:r>
    </w:p>
    <w:p w14:paraId="159B63D5">
      <w:pPr>
        <w:spacing w:line="440" w:lineRule="exact"/>
        <w:rPr>
          <w:rFonts w:ascii="黑体" w:hAnsi="黑体" w:eastAsia="黑体" w:cs="宋体"/>
          <w:spacing w:val="2"/>
          <w:sz w:val="24"/>
          <w:shd w:val="clear" w:color="auto" w:fill="FFFFFF"/>
        </w:rPr>
      </w:pPr>
      <w:r>
        <w:rPr>
          <w:rFonts w:hint="eastAsia" w:ascii="黑体" w:hAnsi="黑体" w:eastAsia="黑体" w:cs="宋体"/>
          <w:spacing w:val="2"/>
          <w:sz w:val="24"/>
          <w:shd w:val="clear" w:color="auto" w:fill="FFFFFF"/>
        </w:rPr>
        <w:t>6</w:t>
      </w:r>
      <w:r>
        <w:rPr>
          <w:rFonts w:ascii="黑体" w:hAnsi="黑体" w:eastAsia="黑体" w:cs="宋体"/>
          <w:spacing w:val="2"/>
          <w:sz w:val="24"/>
          <w:shd w:val="clear" w:color="auto" w:fill="FFFFFF"/>
        </w:rPr>
        <w:t xml:space="preserve"> </w:t>
      </w:r>
      <w:r>
        <w:rPr>
          <w:rFonts w:hint="eastAsia" w:ascii="黑体" w:hAnsi="黑体" w:eastAsia="黑体" w:cs="宋体"/>
          <w:spacing w:val="2"/>
          <w:sz w:val="24"/>
          <w:shd w:val="clear" w:color="auto" w:fill="FFFFFF"/>
        </w:rPr>
        <w:t>校准项目和校准方法</w:t>
      </w:r>
    </w:p>
    <w:p w14:paraId="1972777A">
      <w:pPr>
        <w:spacing w:line="440" w:lineRule="exact"/>
        <w:rPr>
          <w:rFonts w:ascii="宋体" w:hAnsi="宋体" w:cs="宋体"/>
          <w:spacing w:val="2"/>
          <w:sz w:val="24"/>
          <w:shd w:val="clear" w:color="auto" w:fill="FFFFFF"/>
        </w:rPr>
      </w:pPr>
      <w:r>
        <w:rPr>
          <w:rFonts w:hint="eastAsia" w:ascii="宋体" w:hAnsi="宋体" w:cs="宋体"/>
          <w:spacing w:val="2"/>
          <w:sz w:val="24"/>
          <w:shd w:val="clear" w:color="auto" w:fill="FFFFFF"/>
        </w:rPr>
        <w:t>6.1 示值误差</w:t>
      </w:r>
    </w:p>
    <w:p w14:paraId="67BDD021">
      <w:pPr>
        <w:spacing w:line="48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在正常工作条件下，分析仪通电预热稳定后，选择约为工作量程</w:t>
      </w:r>
      <w:r>
        <w:rPr>
          <w:rFonts w:asciiTheme="minorEastAsia" w:hAnsiTheme="minorEastAsia" w:eastAsiaTheme="minorEastAsia"/>
          <w:sz w:val="24"/>
        </w:rPr>
        <w:t>20%、50%</w:t>
      </w:r>
      <w:r>
        <w:rPr>
          <w:rFonts w:hint="eastAsia" w:asciiTheme="minorEastAsia" w:hAnsiTheme="minorEastAsia" w:eastAsiaTheme="minorEastAsia"/>
          <w:sz w:val="24"/>
        </w:rPr>
        <w:t>和</w:t>
      </w:r>
      <w:r>
        <w:rPr>
          <w:rFonts w:asciiTheme="minorEastAsia" w:hAnsiTheme="minorEastAsia" w:eastAsiaTheme="minorEastAsia"/>
          <w:sz w:val="24"/>
        </w:rPr>
        <w:t>80%</w:t>
      </w:r>
      <w:r>
        <w:rPr>
          <w:rFonts w:hint="eastAsia" w:asciiTheme="minorEastAsia" w:hAnsiTheme="minorEastAsia" w:eastAsiaTheme="minorEastAsia"/>
          <w:sz w:val="24"/>
        </w:rPr>
        <w:t>的氟化物标准溶液进行测量，每种浓度分别重复测量3次，取3次测量值的算术平均值作为分析仪的示值。按式（1）或式（2）计算各浓度点的示值误差。</w:t>
      </w:r>
    </w:p>
    <w:p w14:paraId="6FE818FB">
      <w:pPr>
        <w:spacing w:line="48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                  </w:t>
      </w:r>
      <w:r>
        <w:rPr>
          <w:rFonts w:ascii="Times New Roman" w:hAnsi="Times New Roman"/>
          <w:position w:val="-12"/>
          <w:sz w:val="24"/>
        </w:rPr>
        <w:object>
          <v:shape id="_x0000_i1025" o:spt="75" type="#_x0000_t75" style="height:19.2pt;width:62.4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rFonts w:hint="eastAsia" w:ascii="Times New Roman" w:hAnsi="Times New Roman"/>
          <w:sz w:val="24"/>
        </w:rPr>
        <w:t xml:space="preserve">                                 （1）</w:t>
      </w:r>
    </w:p>
    <w:p w14:paraId="5198C6B6">
      <w:pPr>
        <w:ind w:firstLine="2415" w:firstLineChars="1150"/>
        <w:rPr>
          <w:rFonts w:ascii="宋体" w:hAnsi="宋体"/>
          <w:sz w:val="24"/>
        </w:rPr>
      </w:pPr>
      <w:r>
        <w:rPr>
          <w:rFonts w:hint="eastAsia" w:ascii="宋体" w:hAnsi="宋体" w:cs="Arial Unicode MS"/>
          <w:szCs w:val="21"/>
        </w:rPr>
        <w:t xml:space="preserve">       </w:t>
      </w:r>
      <w:r>
        <w:rPr>
          <w:rFonts w:ascii="Times New Roman" w:hAnsi="Times New Roman"/>
          <w:position w:val="-30"/>
          <w:sz w:val="24"/>
        </w:rPr>
        <w:object>
          <v:shape id="_x0000_i1026" o:spt="75" type="#_x0000_t75" style="height:34.8pt;width:106.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hint="eastAsia" w:ascii="宋体" w:hAnsi="宋体" w:cs="Arial Unicode MS"/>
          <w:szCs w:val="21"/>
        </w:rPr>
        <w:t xml:space="preserve">                              </w:t>
      </w:r>
      <w:r>
        <w:rPr>
          <w:rFonts w:hint="eastAsia" w:ascii="宋体" w:hAnsi="宋体"/>
          <w:sz w:val="24"/>
        </w:rPr>
        <w:t>（2）</w:t>
      </w:r>
    </w:p>
    <w:p w14:paraId="0E71B93B"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式中：</w:t>
      </w:r>
    </w:p>
    <w:p w14:paraId="604C39AD"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position w:val="-6"/>
          <w:sz w:val="24"/>
        </w:rPr>
        <w:object>
          <v:shape id="_x0000_i1027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rPr>
          <w:rFonts w:ascii="Times New Roman" w:hAnsi="Times New Roman" w:eastAsia="方正姚体"/>
          <w:sz w:val="24"/>
        </w:rPr>
        <w:t>——</w:t>
      </w:r>
      <w:r>
        <w:rPr>
          <w:rFonts w:ascii="Times New Roman" w:hAnsi="Times New Roman"/>
          <w:sz w:val="24"/>
        </w:rPr>
        <w:t>示值误差</w:t>
      </w:r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mg/L；</w:t>
      </w:r>
    </w:p>
    <w:p w14:paraId="06BAF459">
      <w:pPr>
        <w:spacing w:line="480" w:lineRule="exact"/>
        <w:ind w:firstLine="420" w:firstLineChars="200"/>
        <w:rPr>
          <w:rFonts w:ascii="Times New Roman" w:hAnsi="Times New Roman"/>
          <w:sz w:val="24"/>
        </w:rPr>
      </w:pPr>
      <w:r>
        <w:rPr>
          <w:position w:val="-12"/>
        </w:rPr>
        <w:object>
          <v:shape id="_x0000_i1028" o:spt="75" type="#_x0000_t75" style="height:18.6pt;width:23.4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ascii="Times New Roman" w:hAnsi="Times New Roman" w:eastAsia="方正姚体"/>
          <w:sz w:val="24"/>
        </w:rPr>
        <w:t>——</w:t>
      </w:r>
      <w:r>
        <w:rPr>
          <w:rFonts w:asciiTheme="minorEastAsia" w:hAnsiTheme="minorEastAsia" w:eastAsiaTheme="minorEastAsia"/>
          <w:sz w:val="24"/>
        </w:rPr>
        <w:t>相对</w:t>
      </w:r>
      <w:r>
        <w:rPr>
          <w:rFonts w:ascii="Times New Roman" w:hAnsi="Times New Roman"/>
          <w:sz w:val="24"/>
        </w:rPr>
        <w:t>示值误差</w:t>
      </w:r>
      <w:r>
        <w:rPr>
          <w:rFonts w:hint="eastAsia" w:ascii="Times New Roman" w:hAnsi="Times New Roman"/>
          <w:sz w:val="24"/>
        </w:rPr>
        <w:t>；</w:t>
      </w:r>
    </w:p>
    <w:p w14:paraId="6A968780">
      <w:pPr>
        <w:spacing w:line="480" w:lineRule="exact"/>
        <w:ind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position w:val="-6"/>
          <w:sz w:val="24"/>
        </w:rPr>
        <w:object>
          <v:shape id="_x0000_i1029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Times New Roman" w:hAnsi="Times New Roman" w:eastAsia="方正姚体"/>
          <w:sz w:val="24"/>
        </w:rPr>
        <w:t>——</w:t>
      </w:r>
      <w:r>
        <w:rPr>
          <w:rFonts w:ascii="Times New Roman" w:hAnsi="Times New Roman"/>
          <w:sz w:val="24"/>
        </w:rPr>
        <w:t>3次测量值的算术平均值，mg/L；</w:t>
      </w:r>
    </w:p>
    <w:p w14:paraId="06B00571">
      <w:pPr>
        <w:spacing w:line="480" w:lineRule="exact"/>
        <w:ind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position w:val="-12"/>
          <w:sz w:val="24"/>
        </w:rPr>
        <w:object>
          <v:shape id="_x0000_i1030" o:spt="75" type="#_x0000_t75" style="height:18.6pt;width:1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rFonts w:ascii="Times New Roman" w:hAnsi="Times New Roman" w:eastAsia="方正姚体"/>
          <w:sz w:val="24"/>
        </w:rPr>
        <w:t>——</w:t>
      </w:r>
      <w:r>
        <w:rPr>
          <w:rFonts w:ascii="Times New Roman" w:hAnsi="Times New Roman"/>
          <w:sz w:val="24"/>
        </w:rPr>
        <w:t>标准</w:t>
      </w:r>
      <w:r>
        <w:rPr>
          <w:rFonts w:hint="eastAsia" w:ascii="Times New Roman" w:hAnsi="Times New Roman"/>
          <w:sz w:val="24"/>
        </w:rPr>
        <w:t>溶液</w:t>
      </w:r>
      <w:r>
        <w:rPr>
          <w:rFonts w:ascii="Times New Roman" w:hAnsi="Times New Roman"/>
          <w:sz w:val="24"/>
        </w:rPr>
        <w:t>浓度值，mg/L。</w:t>
      </w:r>
    </w:p>
    <w:p w14:paraId="6F61790A">
      <w:pPr>
        <w:spacing w:line="480" w:lineRule="exact"/>
        <w:rPr>
          <w:rFonts w:ascii="宋体" w:hAnsi="宋体"/>
          <w:sz w:val="24"/>
        </w:rPr>
      </w:pPr>
      <w:bookmarkStart w:id="0" w:name="_Toc430069337"/>
      <w:bookmarkStart w:id="1" w:name="_Toc430173848"/>
      <w:bookmarkStart w:id="2" w:name="_Toc430182138"/>
      <w:bookmarkStart w:id="3" w:name="_Toc429987572"/>
      <w:bookmarkStart w:id="4" w:name="_Toc430174346"/>
      <w:r>
        <w:rPr>
          <w:rFonts w:hint="eastAsia" w:ascii="宋体" w:hAnsi="宋体"/>
          <w:sz w:val="24"/>
        </w:rPr>
        <w:t>6.2 重复性</w:t>
      </w:r>
      <w:bookmarkEnd w:id="0"/>
      <w:bookmarkEnd w:id="1"/>
      <w:bookmarkEnd w:id="2"/>
      <w:bookmarkEnd w:id="3"/>
      <w:bookmarkEnd w:id="4"/>
    </w:p>
    <w:p w14:paraId="39630A38"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选择</w:t>
      </w:r>
      <w:r>
        <w:rPr>
          <w:rFonts w:hint="eastAsia"/>
          <w:sz w:val="24"/>
        </w:rPr>
        <w:t>约为工作量程</w:t>
      </w:r>
      <w:r>
        <w:rPr>
          <w:rFonts w:ascii="Times New Roman" w:hAnsi="Times New Roman"/>
          <w:sz w:val="24"/>
        </w:rPr>
        <w:t>50%</w:t>
      </w:r>
      <w:r>
        <w:rPr>
          <w:rFonts w:hint="eastAsia"/>
          <w:sz w:val="24"/>
        </w:rPr>
        <w:t>的</w:t>
      </w:r>
      <w:r>
        <w:rPr>
          <w:rFonts w:hint="eastAsia" w:hAnsi="宋体"/>
          <w:sz w:val="24"/>
        </w:rPr>
        <w:t>氟化物标准溶液进行测量</w:t>
      </w:r>
      <w:r>
        <w:rPr>
          <w:rFonts w:hint="eastAsia" w:ascii="宋体" w:hAnsi="宋体"/>
          <w:sz w:val="24"/>
        </w:rPr>
        <w:t>，重复测量</w:t>
      </w:r>
      <w:r>
        <w:rPr>
          <w:rFonts w:ascii="Times New Roman" w:hAnsi="Times New Roman"/>
          <w:sz w:val="24"/>
        </w:rPr>
        <w:t>6</w:t>
      </w:r>
      <w:r>
        <w:rPr>
          <w:rFonts w:hint="eastAsia" w:ascii="宋体" w:hAnsi="宋体"/>
          <w:sz w:val="24"/>
        </w:rPr>
        <w:t xml:space="preserve">次，按式（3）计算分析仪的重复性。  </w:t>
      </w:r>
    </w:p>
    <w:p w14:paraId="4B6199F7">
      <w:pPr>
        <w:ind w:firstLine="720" w:firstLineChars="300"/>
        <w:rPr>
          <w:rFonts w:ascii="宋体" w:hAnsi="宋体"/>
          <w:color w:val="FF6600"/>
          <w:sz w:val="24"/>
        </w:rPr>
      </w:pPr>
      <w:r>
        <w:rPr>
          <w:rFonts w:hint="eastAsia" w:ascii="宋体" w:hAnsi="宋体"/>
          <w:color w:val="FF6600"/>
          <w:sz w:val="24"/>
        </w:rPr>
        <w:t xml:space="preserve">               </w:t>
      </w:r>
      <w:r>
        <w:rPr>
          <w:rFonts w:ascii="Times New Roman" w:hAnsi="Times New Roman"/>
          <w:color w:val="FF6600"/>
          <w:position w:val="-26"/>
          <w:sz w:val="24"/>
        </w:rPr>
        <w:object>
          <v:shape id="_x0000_i1031" o:spt="75" type="#_x0000_t75" style="height:49.8pt;width:142.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rFonts w:hint="eastAsia" w:ascii="宋体" w:hAnsi="宋体"/>
          <w:color w:val="FF6600"/>
          <w:sz w:val="24"/>
        </w:rPr>
        <w:t xml:space="preserve">                         </w:t>
      </w:r>
      <w:r>
        <w:rPr>
          <w:rFonts w:hint="eastAsia" w:ascii="宋体" w:hAnsi="宋体"/>
          <w:sz w:val="24"/>
        </w:rPr>
        <w:t>（3）</w:t>
      </w:r>
    </w:p>
    <w:p w14:paraId="3A1A7D49"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式中</w:t>
      </w:r>
      <w:r>
        <w:rPr>
          <w:rFonts w:hint="eastAsia" w:ascii="宋体" w:hAnsi="宋体"/>
          <w:sz w:val="24"/>
        </w:rPr>
        <w:t>：</w:t>
      </w:r>
    </w:p>
    <w:p w14:paraId="4B23F468">
      <w:pPr>
        <w:spacing w:line="480" w:lineRule="exact"/>
        <w:ind w:firstLine="630" w:firstLineChars="300"/>
        <w:rPr>
          <w:rFonts w:ascii="Times New Roman" w:hAnsi="Times New Roman"/>
          <w:kern w:val="0"/>
          <w:sz w:val="24"/>
        </w:rPr>
      </w:pPr>
      <w:r>
        <w:rPr>
          <w:position w:val="-12"/>
        </w:rPr>
        <w:object>
          <v:shape id="_x0000_i1032" o:spt="75" type="#_x0000_t75" style="height:18.6pt;width:1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rFonts w:ascii="Times New Roman" w:hAnsi="Times New Roman" w:eastAsia="方正姚体"/>
          <w:sz w:val="24"/>
          <w:szCs w:val="22"/>
        </w:rPr>
        <w:t>——</w:t>
      </w:r>
      <w:r>
        <w:rPr>
          <w:rFonts w:hint="eastAsia" w:ascii="宋体" w:hAnsi="宋体" w:cs="宋体"/>
          <w:kern w:val="0"/>
          <w:sz w:val="24"/>
        </w:rPr>
        <w:t>重复性</w:t>
      </w:r>
      <w:r>
        <w:rPr>
          <w:rFonts w:ascii="Times New Roman" w:hAnsi="Times New Roman"/>
          <w:kern w:val="0"/>
          <w:sz w:val="24"/>
        </w:rPr>
        <w:t>；</w:t>
      </w:r>
    </w:p>
    <w:p w14:paraId="38D5DAA5">
      <w:pPr>
        <w:tabs>
          <w:tab w:val="left" w:pos="7069"/>
        </w:tabs>
        <w:spacing w:line="480" w:lineRule="exact"/>
        <w:ind w:firstLine="480" w:firstLineChars="200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 </w:t>
      </w:r>
      <w:r>
        <w:rPr>
          <w:position w:val="-12"/>
        </w:rPr>
        <w:object>
          <v:shape id="_x0000_i1033" o:spt="75" type="#_x0000_t75" style="height:18.6pt;width:14.4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  <w:r>
        <w:rPr>
          <w:rFonts w:ascii="Times New Roman" w:hAnsi="Times New Roman" w:eastAsia="方正姚体"/>
          <w:sz w:val="24"/>
          <w:szCs w:val="22"/>
        </w:rPr>
        <w:t>——</w:t>
      </w:r>
      <w:r>
        <w:rPr>
          <w:rFonts w:ascii="Times New Roman" w:hAnsi="Times New Roman"/>
          <w:kern w:val="0"/>
          <w:sz w:val="24"/>
        </w:rPr>
        <w:t>第i次测量的示值，</w:t>
      </w:r>
      <w:r>
        <w:rPr>
          <w:rFonts w:ascii="Times New Roman" w:hAnsi="Times New Roman"/>
          <w:sz w:val="24"/>
        </w:rPr>
        <w:t>mg/L</w:t>
      </w:r>
      <w:r>
        <w:rPr>
          <w:rFonts w:ascii="Times New Roman" w:hAnsi="Times New Roman"/>
          <w:kern w:val="0"/>
          <w:sz w:val="24"/>
        </w:rPr>
        <w:t>；</w:t>
      </w:r>
      <w:r>
        <w:rPr>
          <w:rFonts w:ascii="Times New Roman" w:hAnsi="Times New Roman"/>
          <w:kern w:val="0"/>
          <w:sz w:val="24"/>
        </w:rPr>
        <w:tab/>
      </w:r>
    </w:p>
    <w:p w14:paraId="33FA52C0">
      <w:pPr>
        <w:spacing w:line="480" w:lineRule="exact"/>
        <w:ind w:firstLine="480" w:firstLineChars="200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 </w:t>
      </w:r>
      <w:r>
        <w:rPr>
          <w:position w:val="-6"/>
        </w:rPr>
        <w:object>
          <v:shape id="_x0000_i1034" o:spt="75" type="#_x0000_t75" style="height:17.4pt;width:1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rFonts w:ascii="Times New Roman" w:hAnsi="Times New Roman" w:eastAsia="方正姚体"/>
          <w:sz w:val="24"/>
          <w:szCs w:val="22"/>
        </w:rPr>
        <w:t>——</w:t>
      </w:r>
      <w:r>
        <w:rPr>
          <w:position w:val="-6"/>
        </w:rPr>
        <w:object>
          <v:shape id="_x0000_i1035" o:spt="75" type="#_x0000_t75" style="height:11.4pt;width: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rFonts w:ascii="Times New Roman" w:hAnsi="Times New Roman"/>
          <w:sz w:val="24"/>
        </w:rPr>
        <w:t>次</w:t>
      </w:r>
      <w:r>
        <w:rPr>
          <w:rFonts w:hint="eastAsia" w:ascii="Times New Roman" w:hAnsi="Times New Roman"/>
          <w:sz w:val="24"/>
        </w:rPr>
        <w:t>测量值</w:t>
      </w:r>
      <w:r>
        <w:rPr>
          <w:rFonts w:ascii="Times New Roman" w:hAnsi="Times New Roman"/>
          <w:sz w:val="24"/>
        </w:rPr>
        <w:t>的</w:t>
      </w:r>
      <w:r>
        <w:rPr>
          <w:rFonts w:hint="eastAsia" w:ascii="Times New Roman" w:hAnsi="Times New Roman"/>
          <w:sz w:val="24"/>
        </w:rPr>
        <w:t>算术</w:t>
      </w:r>
      <w:r>
        <w:rPr>
          <w:rFonts w:ascii="Times New Roman" w:hAnsi="Times New Roman"/>
          <w:sz w:val="24"/>
        </w:rPr>
        <w:t>平均值</w:t>
      </w:r>
      <w:r>
        <w:rPr>
          <w:rFonts w:ascii="Times New Roman" w:hAnsi="Times New Roman"/>
          <w:kern w:val="0"/>
          <w:sz w:val="24"/>
        </w:rPr>
        <w:t>，</w:t>
      </w:r>
      <w:r>
        <w:rPr>
          <w:rFonts w:ascii="Times New Roman" w:hAnsi="Times New Roman"/>
          <w:sz w:val="24"/>
        </w:rPr>
        <w:t>mg/L</w:t>
      </w:r>
      <w:r>
        <w:rPr>
          <w:rFonts w:ascii="Times New Roman" w:hAnsi="Times New Roman"/>
          <w:kern w:val="0"/>
          <w:sz w:val="24"/>
        </w:rPr>
        <w:t>；</w:t>
      </w:r>
    </w:p>
    <w:p w14:paraId="4818DBA4">
      <w:pPr>
        <w:spacing w:line="480" w:lineRule="exact"/>
        <w:ind w:firstLine="480" w:firstLineChars="200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 </w:t>
      </w:r>
      <w:r>
        <w:rPr>
          <w:position w:val="-6"/>
        </w:rPr>
        <w:object>
          <v:shape id="_x0000_i1036" o:spt="75" type="#_x0000_t75" style="height:11.4pt;width:10.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rFonts w:ascii="Times New Roman" w:hAnsi="Times New Roman" w:eastAsia="方正姚体"/>
          <w:sz w:val="24"/>
          <w:szCs w:val="22"/>
        </w:rPr>
        <w:t>——</w:t>
      </w:r>
      <w:r>
        <w:rPr>
          <w:rFonts w:ascii="Times New Roman" w:hAnsi="Times New Roman"/>
          <w:kern w:val="0"/>
          <w:sz w:val="24"/>
        </w:rPr>
        <w:t>测量次数，</w:t>
      </w:r>
      <w:r>
        <w:rPr>
          <w:position w:val="-6"/>
        </w:rPr>
        <w:object>
          <v:shape id="_x0000_i1037" o:spt="75" type="#_x0000_t75" style="height:14.4pt;width:29.4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rFonts w:ascii="Times New Roman" w:hAnsi="Times New Roman"/>
          <w:kern w:val="0"/>
          <w:sz w:val="24"/>
        </w:rPr>
        <w:t>。</w:t>
      </w:r>
    </w:p>
    <w:p w14:paraId="62CDFCC0">
      <w:pPr>
        <w:spacing w:line="360" w:lineRule="auto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6.3 稳定性</w:t>
      </w:r>
    </w:p>
    <w:p w14:paraId="02392E53">
      <w:pPr>
        <w:spacing w:line="360" w:lineRule="auto"/>
        <w:ind w:firstLine="480" w:firstLineChars="200"/>
        <w:rPr>
          <w:rFonts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选择约为工作量程50%的氟化物标准溶液进行测量，第1次测量值记录为初始示值，每隔1h测量1次该标准溶液，连续测量4次，取各次测量值中偏离初始示值最大的测量值按式（4）计算示值稳定性。</w:t>
      </w:r>
    </w:p>
    <w:p w14:paraId="479255A6">
      <w:pPr>
        <w:ind w:firstLine="2760" w:firstLineChars="1150"/>
        <w:rPr>
          <w:rFonts w:ascii="宋体" w:hAnsi="宋体"/>
          <w:sz w:val="24"/>
        </w:rPr>
      </w:pPr>
      <w:r>
        <w:rPr>
          <w:rFonts w:ascii="Times New Roman" w:hAnsi="Times New Roman"/>
          <w:position w:val="-30"/>
          <w:sz w:val="24"/>
        </w:rPr>
        <w:object>
          <v:shape id="_x0000_i1038" o:spt="75" type="#_x0000_t75" style="height:34.2pt;width:111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rFonts w:hint="eastAsia" w:ascii="宋体" w:hAnsi="宋体" w:cs="Arial Unicode MS"/>
          <w:szCs w:val="21"/>
        </w:rPr>
        <w:t xml:space="preserve">                               </w:t>
      </w:r>
      <w:r>
        <w:rPr>
          <w:rFonts w:hint="eastAsia" w:ascii="宋体" w:hAnsi="宋体"/>
          <w:sz w:val="24"/>
        </w:rPr>
        <w:t>（4）</w:t>
      </w:r>
    </w:p>
    <w:p w14:paraId="2E0D8A59"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式中：</w:t>
      </w:r>
    </w:p>
    <w:p w14:paraId="548294C5">
      <w:pPr>
        <w:spacing w:line="480" w:lineRule="exact"/>
        <w:ind w:firstLine="420" w:firstLineChars="200"/>
        <w:rPr>
          <w:rFonts w:ascii="Times New Roman" w:hAnsi="Times New Roman"/>
          <w:sz w:val="24"/>
        </w:rPr>
      </w:pPr>
      <w:r>
        <w:rPr>
          <w:position w:val="-6"/>
        </w:rPr>
        <w:object>
          <v:shape id="_x0000_i1039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rFonts w:ascii="Times New Roman" w:hAnsi="Times New Roman" w:eastAsia="方正姚体"/>
          <w:sz w:val="24"/>
        </w:rPr>
        <w:t>——</w:t>
      </w:r>
      <w:r>
        <w:rPr>
          <w:rFonts w:ascii="Times New Roman" w:hAnsi="Times New Roman"/>
          <w:sz w:val="24"/>
        </w:rPr>
        <w:t>示值</w:t>
      </w:r>
      <w:r>
        <w:rPr>
          <w:rFonts w:hint="eastAsia" w:ascii="Times New Roman" w:hAnsi="Times New Roman"/>
          <w:sz w:val="24"/>
        </w:rPr>
        <w:t>稳定性</w:t>
      </w:r>
      <w:r>
        <w:rPr>
          <w:rFonts w:ascii="Times New Roman" w:hAnsi="Times New Roman"/>
          <w:sz w:val="24"/>
        </w:rPr>
        <w:t>；</w:t>
      </w:r>
    </w:p>
    <w:p w14:paraId="068CD495">
      <w:pPr>
        <w:spacing w:line="480" w:lineRule="exact"/>
        <w:ind w:firstLine="315" w:firstLineChars="150"/>
        <w:rPr>
          <w:rFonts w:ascii="Times New Roman" w:hAnsi="Times New Roman"/>
          <w:sz w:val="24"/>
        </w:rPr>
      </w:pPr>
      <w:r>
        <w:rPr>
          <w:position w:val="-12"/>
        </w:rPr>
        <w:object>
          <v:shape id="_x0000_i1040" o:spt="75" type="#_x0000_t75" style="height:18.6pt;width:23.4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rFonts w:ascii="Times New Roman" w:hAnsi="Times New Roman" w:eastAsia="方正姚体"/>
          <w:sz w:val="24"/>
        </w:rPr>
        <w:t>——</w:t>
      </w:r>
      <w:r>
        <w:rPr>
          <w:rFonts w:hint="eastAsia" w:ascii="Times New Roman" w:hAnsi="Times New Roman"/>
          <w:sz w:val="24"/>
        </w:rPr>
        <w:t>偏离初始示值最大的测量值，</w:t>
      </w:r>
      <w:r>
        <w:rPr>
          <w:rFonts w:ascii="Times New Roman" w:hAnsi="Times New Roman"/>
          <w:sz w:val="24"/>
        </w:rPr>
        <w:t>mg/L</w:t>
      </w:r>
      <w:r>
        <w:rPr>
          <w:rFonts w:hint="eastAsia" w:ascii="Times New Roman" w:hAnsi="Times New Roman"/>
          <w:sz w:val="24"/>
        </w:rPr>
        <w:t>；</w:t>
      </w:r>
    </w:p>
    <w:p w14:paraId="0B9CE618">
      <w:pPr>
        <w:spacing w:line="480" w:lineRule="exact"/>
        <w:ind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>
        <w:rPr>
          <w:position w:val="-12"/>
        </w:rPr>
        <w:object>
          <v:shape id="_x0000_i1041" o:spt="75" type="#_x0000_t75" style="height:18.6pt;width:14.4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rFonts w:ascii="Times New Roman" w:hAnsi="Times New Roman" w:eastAsia="方正姚体"/>
          <w:sz w:val="24"/>
        </w:rPr>
        <w:t>——</w:t>
      </w:r>
      <w:r>
        <w:rPr>
          <w:rFonts w:hint="eastAsia" w:ascii="Times New Roman" w:hAnsi="Times New Roman"/>
          <w:sz w:val="24"/>
        </w:rPr>
        <w:t>初始示值</w:t>
      </w:r>
      <w:r>
        <w:rPr>
          <w:rFonts w:ascii="Times New Roman" w:hAnsi="Times New Roman"/>
          <w:sz w:val="24"/>
        </w:rPr>
        <w:t>，mg/L</w:t>
      </w:r>
      <w:r>
        <w:rPr>
          <w:rFonts w:hint="eastAsia" w:ascii="Times New Roman" w:hAnsi="Times New Roman"/>
          <w:sz w:val="24"/>
        </w:rPr>
        <w:t>。</w:t>
      </w:r>
    </w:p>
    <w:p w14:paraId="35FFB370">
      <w:pPr>
        <w:spacing w:line="480" w:lineRule="exact"/>
        <w:rPr>
          <w:rFonts w:ascii="黑体" w:hAnsi="黑体" w:eastAsia="黑体"/>
          <w:sz w:val="24"/>
          <w:szCs w:val="20"/>
        </w:rPr>
      </w:pPr>
      <w:r>
        <w:rPr>
          <w:rFonts w:hint="eastAsia" w:ascii="黑体" w:hAnsi="黑体" w:eastAsia="黑体"/>
          <w:sz w:val="24"/>
          <w:szCs w:val="20"/>
        </w:rPr>
        <w:t>7</w:t>
      </w:r>
      <w:r>
        <w:rPr>
          <w:rFonts w:ascii="黑体" w:hAnsi="黑体" w:eastAsia="黑体"/>
          <w:sz w:val="24"/>
          <w:szCs w:val="20"/>
        </w:rPr>
        <w:t xml:space="preserve"> 校准结果表达</w:t>
      </w:r>
    </w:p>
    <w:p w14:paraId="138E9B9F">
      <w:pPr>
        <w:spacing w:line="440" w:lineRule="exact"/>
        <w:ind w:firstLine="48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校准结果应在校准证书上反映。校准证书应至少包括以下信息：</w:t>
      </w:r>
    </w:p>
    <w:p w14:paraId="73AE5131">
      <w:pPr>
        <w:spacing w:line="440" w:lineRule="exact"/>
        <w:ind w:firstLine="48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a)  标题，如“校准证书”；</w:t>
      </w:r>
    </w:p>
    <w:p w14:paraId="01A1DB51">
      <w:pPr>
        <w:spacing w:line="440" w:lineRule="exact"/>
        <w:ind w:firstLine="48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b)  实验室名称和地址；</w:t>
      </w:r>
    </w:p>
    <w:p w14:paraId="67706E46">
      <w:pPr>
        <w:spacing w:line="440" w:lineRule="exact"/>
        <w:ind w:firstLine="48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c)  进行校准的地点（如果与实验室的地址不同）；</w:t>
      </w:r>
    </w:p>
    <w:p w14:paraId="7C1F48FC">
      <w:pPr>
        <w:spacing w:line="440" w:lineRule="exact"/>
        <w:ind w:firstLine="48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d)  证书或报告的唯一性标识（如编号），每页及总页数的标识；</w:t>
      </w:r>
    </w:p>
    <w:p w14:paraId="4D848B91">
      <w:pPr>
        <w:spacing w:line="440" w:lineRule="exact"/>
        <w:ind w:firstLine="48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e)  客户的名称和地址；</w:t>
      </w:r>
    </w:p>
    <w:p w14:paraId="561ED3E9">
      <w:pPr>
        <w:spacing w:line="440" w:lineRule="exact"/>
        <w:ind w:firstLine="48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f)  被校对象的描述和明确标识；</w:t>
      </w:r>
    </w:p>
    <w:p w14:paraId="5955994B">
      <w:pPr>
        <w:spacing w:line="440" w:lineRule="exact"/>
        <w:ind w:firstLine="48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g)  进行校准的日期，如果与校准结果的有效性应用有关时，应说明被校对象的接收日期；</w:t>
      </w:r>
    </w:p>
    <w:p w14:paraId="0BCCC462">
      <w:pPr>
        <w:spacing w:line="440" w:lineRule="exact"/>
        <w:ind w:firstLine="48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h)  如果与校准结果的有效性应用有关时，应对被校样品的抽样程序进行说明；</w:t>
      </w:r>
    </w:p>
    <w:p w14:paraId="67F6907A">
      <w:pPr>
        <w:spacing w:line="440" w:lineRule="exact"/>
        <w:ind w:firstLine="48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i)  校准所依据的技术规范的标识，包括名称及代号；</w:t>
      </w:r>
    </w:p>
    <w:p w14:paraId="268A1DD6">
      <w:pPr>
        <w:spacing w:line="440" w:lineRule="exact"/>
        <w:ind w:firstLine="48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j)  本次校准所用测量标准的溯源性及有效性说明；</w:t>
      </w:r>
    </w:p>
    <w:p w14:paraId="3AD5BC75">
      <w:pPr>
        <w:spacing w:line="440" w:lineRule="exact"/>
        <w:ind w:firstLine="48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k)  校准环境的描述；</w:t>
      </w:r>
    </w:p>
    <w:p w14:paraId="33A4668D">
      <w:pPr>
        <w:spacing w:line="440" w:lineRule="exact"/>
        <w:ind w:firstLine="48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l)  校准结果及测量不确定度的说明；</w:t>
      </w:r>
    </w:p>
    <w:p w14:paraId="5B69577B">
      <w:pPr>
        <w:spacing w:line="440" w:lineRule="exact"/>
        <w:ind w:firstLine="48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m) 对校准规范的偏离的说明；</w:t>
      </w:r>
    </w:p>
    <w:p w14:paraId="7556AFBE">
      <w:pPr>
        <w:spacing w:line="440" w:lineRule="exact"/>
        <w:ind w:firstLine="48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n)  校准证书或校准报告签发人的签名、职务或等效标识；</w:t>
      </w:r>
    </w:p>
    <w:p w14:paraId="7D286C7F">
      <w:pPr>
        <w:spacing w:line="440" w:lineRule="exact"/>
        <w:ind w:firstLine="48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o)  校准结果仅对被校对象有效的声明；</w:t>
      </w:r>
    </w:p>
    <w:p w14:paraId="01488DE3">
      <w:pPr>
        <w:spacing w:line="440" w:lineRule="exact"/>
        <w:ind w:firstLine="480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>p)  未经实验室书面批准，不得部分复制证书的声明。</w:t>
      </w:r>
    </w:p>
    <w:p w14:paraId="6D81F803">
      <w:pPr>
        <w:pStyle w:val="3"/>
        <w:spacing w:line="480" w:lineRule="auto"/>
        <w:ind w:right="11"/>
        <w:rPr>
          <w:rFonts w:ascii="Times New Roman" w:hAnsi="Times New Roman" w:eastAsia="黑体"/>
          <w:sz w:val="24"/>
        </w:rPr>
      </w:pPr>
      <w:r>
        <w:rPr>
          <w:rFonts w:hint="eastAsia" w:ascii="Times New Roman" w:hAnsi="Times New Roman" w:eastAsia="黑体"/>
          <w:sz w:val="24"/>
        </w:rPr>
        <w:t>8</w:t>
      </w:r>
      <w:r>
        <w:rPr>
          <w:rFonts w:ascii="Times New Roman" w:hAnsi="Times New Roman" w:eastAsia="黑体"/>
          <w:sz w:val="24"/>
        </w:rPr>
        <w:t xml:space="preserve"> </w:t>
      </w:r>
      <w:r>
        <w:rPr>
          <w:rFonts w:hint="eastAsia" w:ascii="Times New Roman" w:hAnsi="Times New Roman" w:eastAsia="黑体"/>
          <w:sz w:val="24"/>
        </w:rPr>
        <w:t>复校时间间隔</w:t>
      </w:r>
    </w:p>
    <w:p w14:paraId="5F94606B">
      <w:pPr>
        <w:pStyle w:val="3"/>
        <w:spacing w:line="440" w:lineRule="exact"/>
        <w:ind w:right="11" w:firstLine="480" w:firstLineChars="200"/>
        <w:rPr>
          <w:rFonts w:ascii="Times New Roman" w:hAnsi="Times New Roman" w:eastAsia="黑体"/>
          <w:bCs/>
          <w:sz w:val="28"/>
          <w:szCs w:val="28"/>
        </w:rPr>
      </w:pPr>
      <w:r>
        <w:rPr>
          <w:rFonts w:hint="eastAsia" w:ascii="Times New Roman" w:hAnsi="Times New Roman"/>
          <w:sz w:val="24"/>
        </w:rPr>
        <w:t>由于复校时间间隔的长短是由仪器的使用情况、使用者、仪器本身质量等诸因素所决定的，因此，送校单位可根据实际使用情况自主决定复校时间间隔，建议不超过</w:t>
      </w:r>
      <w:r>
        <w:rPr>
          <w:rFonts w:ascii="Times New Roman" w:hAnsi="Times New Roman"/>
          <w:sz w:val="24"/>
        </w:rPr>
        <w:t>1</w:t>
      </w:r>
      <w:r>
        <w:rPr>
          <w:rFonts w:hint="eastAsia" w:ascii="Times New Roman" w:hAnsi="Times New Roman"/>
          <w:sz w:val="24"/>
        </w:rPr>
        <w:t>年。</w:t>
      </w:r>
      <w:r>
        <w:rPr>
          <w:rFonts w:ascii="Times New Roman" w:hAnsi="Times New Roman"/>
          <w:sz w:val="24"/>
        </w:rPr>
        <w:br w:type="page"/>
      </w:r>
      <w:r>
        <w:rPr>
          <w:rFonts w:hint="eastAsia" w:ascii="Times New Roman" w:hAnsi="Times New Roman" w:eastAsia="黑体"/>
          <w:sz w:val="28"/>
          <w:szCs w:val="28"/>
        </w:rPr>
        <w:t>附录</w:t>
      </w:r>
      <w:r>
        <w:rPr>
          <w:rFonts w:ascii="Times New Roman" w:hAnsi="Times New Roman" w:eastAsia="黑体"/>
          <w:bCs/>
          <w:sz w:val="28"/>
          <w:szCs w:val="28"/>
        </w:rPr>
        <w:t>A</w:t>
      </w:r>
    </w:p>
    <w:p w14:paraId="19548B2E">
      <w:pPr>
        <w:ind w:firstLine="3360" w:firstLineChars="1200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氟化物标准溶液的配制</w:t>
      </w:r>
    </w:p>
    <w:p w14:paraId="49C5015E">
      <w:pPr>
        <w:ind w:firstLine="2520" w:firstLineChars="1200"/>
        <w:rPr>
          <w:rFonts w:ascii="Times New Roman" w:hAnsi="Times New Roman"/>
          <w:szCs w:val="21"/>
          <w:u w:val="single"/>
        </w:rPr>
      </w:pPr>
    </w:p>
    <w:p w14:paraId="0D351522">
      <w:pPr>
        <w:pStyle w:val="3"/>
        <w:spacing w:line="360" w:lineRule="auto"/>
        <w:ind w:right="11"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A.1 试验用空白水</w:t>
      </w:r>
    </w:p>
    <w:p w14:paraId="65A491F8">
      <w:pPr>
        <w:pStyle w:val="3"/>
        <w:spacing w:line="360" w:lineRule="auto"/>
        <w:ind w:right="11" w:firstLine="840" w:firstLineChars="3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使用蒸馏水或满足分析实验室二级用水要求的纯水。</w:t>
      </w:r>
    </w:p>
    <w:p w14:paraId="0682AF2C">
      <w:pPr>
        <w:pStyle w:val="3"/>
        <w:spacing w:line="360" w:lineRule="auto"/>
        <w:ind w:right="11"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A.2 氟化物有证标准物质</w:t>
      </w:r>
    </w:p>
    <w:p w14:paraId="4A8A7D50">
      <w:pPr>
        <w:pStyle w:val="3"/>
        <w:spacing w:line="360" w:lineRule="auto"/>
        <w:ind w:right="11" w:firstLine="840" w:firstLineChars="3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相对扩展不确定度不大于2%（</w:t>
      </w:r>
      <w:r>
        <w:rPr>
          <w:rFonts w:hint="eastAsia" w:asciiTheme="minorEastAsia" w:hAnsiTheme="minorEastAsia" w:eastAsiaTheme="minorEastAsia"/>
          <w:i/>
          <w:sz w:val="24"/>
          <w:szCs w:val="24"/>
        </w:rPr>
        <w:t>k</w:t>
      </w:r>
      <w:r>
        <w:rPr>
          <w:rFonts w:hint="eastAsia" w:asciiTheme="minorEastAsia" w:hAnsiTheme="minorEastAsia" w:eastAsiaTheme="minorEastAsia"/>
          <w:sz w:val="24"/>
          <w:szCs w:val="24"/>
        </w:rPr>
        <w:t>=2）。</w:t>
      </w:r>
    </w:p>
    <w:p w14:paraId="1C985229">
      <w:pPr>
        <w:pStyle w:val="3"/>
        <w:spacing w:line="360" w:lineRule="auto"/>
        <w:ind w:right="11"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A.3 稀释方法</w:t>
      </w:r>
    </w:p>
    <w:p w14:paraId="4D6A1347">
      <w:pPr>
        <w:pStyle w:val="3"/>
        <w:spacing w:line="360" w:lineRule="auto"/>
        <w:ind w:right="11" w:firstLine="48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采用有证标准物质证书或仪器厂商推荐的方法进行稀释。</w:t>
      </w:r>
    </w:p>
    <w:p w14:paraId="03D5DE04">
      <w:pPr>
        <w:pStyle w:val="3"/>
        <w:spacing w:line="360" w:lineRule="auto"/>
        <w:ind w:right="11"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A.4 氟化物标准溶液的配制</w:t>
      </w:r>
    </w:p>
    <w:p w14:paraId="5E2CDD74">
      <w:pPr>
        <w:pStyle w:val="3"/>
        <w:spacing w:line="360" w:lineRule="auto"/>
        <w:ind w:left="420" w:leftChars="200" w:right="11"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根据校准所需氟化物标准溶液的浓度、用量及所用氟化物标准物质的浓度，配制校准用氟化物标准溶液。例如，用吸量管准确移取1mL质量浓度为50.0mg/L的氟化物标准物质，置于100 mL容量瓶中，用试验用空白水稀释至刻度，定容并摇匀。即得100mL质量浓度为0.5mg/L的氟化物标准溶液。</w:t>
      </w:r>
    </w:p>
    <w:p w14:paraId="3A04B983">
      <w:pPr>
        <w:pStyle w:val="3"/>
        <w:spacing w:line="360" w:lineRule="auto"/>
        <w:ind w:right="11" w:firstLine="960" w:firstLineChars="4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标准溶液应现配现用。</w:t>
      </w:r>
    </w:p>
    <w:p w14:paraId="6C8FC7B9">
      <w:pPr>
        <w:pStyle w:val="3"/>
        <w:spacing w:line="440" w:lineRule="exact"/>
        <w:ind w:right="11"/>
        <w:rPr>
          <w:rFonts w:ascii="Times New Roman" w:hAnsi="Times New Roman" w:eastAsia="黑体"/>
          <w:bCs/>
          <w:sz w:val="28"/>
          <w:szCs w:val="28"/>
        </w:rPr>
      </w:pPr>
      <w:r>
        <w:rPr>
          <w:rFonts w:ascii="Times New Roman" w:hAnsi="Times New Roman" w:eastAsia="黑体"/>
          <w:sz w:val="28"/>
          <w:szCs w:val="28"/>
        </w:rPr>
        <w:br w:type="page"/>
      </w:r>
      <w:r>
        <w:rPr>
          <w:rFonts w:hint="eastAsia" w:ascii="Times New Roman" w:hAnsi="Times New Roman" w:eastAsia="黑体"/>
          <w:sz w:val="28"/>
          <w:szCs w:val="28"/>
        </w:rPr>
        <w:t>附录</w:t>
      </w:r>
      <w:r>
        <w:rPr>
          <w:rFonts w:hint="eastAsia" w:ascii="Times New Roman" w:hAnsi="Times New Roman" w:eastAsia="黑体"/>
          <w:bCs/>
          <w:sz w:val="28"/>
          <w:szCs w:val="28"/>
        </w:rPr>
        <w:t>B</w:t>
      </w:r>
    </w:p>
    <w:p w14:paraId="438B0E26">
      <w:pPr>
        <w:spacing w:after="312" w:afterLines="100" w:line="360" w:lineRule="auto"/>
        <w:ind w:right="-540" w:rightChars="-257" w:firstLine="1400" w:firstLineChars="500"/>
        <w:rPr>
          <w:rFonts w:ascii="黑体" w:hAnsi="黑体" w:eastAsia="黑体"/>
          <w:sz w:val="36"/>
          <w:szCs w:val="36"/>
        </w:rPr>
      </w:pPr>
      <w:r>
        <w:rPr>
          <w:rFonts w:hint="eastAsia" w:ascii="Times New Roman" w:hAnsi="Times New Roman" w:eastAsia="黑体"/>
          <w:sz w:val="28"/>
          <w:szCs w:val="28"/>
        </w:rPr>
        <w:t>氟化物水质自动分析仪校准原始记录格式（推荐）</w:t>
      </w:r>
    </w:p>
    <w:p w14:paraId="64D89EDC">
      <w:pPr>
        <w:ind w:firstLine="5250" w:firstLineChars="2500"/>
        <w:rPr>
          <w:rFonts w:ascii="Times New Roman" w:hAnsi="Times New Roman"/>
          <w:szCs w:val="21"/>
          <w:u w:val="single"/>
        </w:rPr>
      </w:pPr>
      <w:r>
        <w:rPr>
          <w:rFonts w:hint="eastAsia" w:ascii="Times New Roman" w:hAnsi="Times New Roman"/>
          <w:szCs w:val="21"/>
        </w:rPr>
        <w:t>校准证书</w:t>
      </w:r>
      <w:r>
        <w:rPr>
          <w:rFonts w:ascii="Times New Roman" w:hAnsi="Times New Roman"/>
          <w:szCs w:val="21"/>
        </w:rPr>
        <w:t>号：</w:t>
      </w:r>
      <w:r>
        <w:rPr>
          <w:rFonts w:ascii="Times New Roman" w:hAnsi="Times New Roman"/>
          <w:szCs w:val="21"/>
          <w:u w:val="single"/>
        </w:rPr>
        <w:t xml:space="preserve">     </w:t>
      </w:r>
      <w:r>
        <w:rPr>
          <w:rFonts w:hint="eastAsia" w:ascii="Times New Roman" w:hAnsi="Times New Roman"/>
          <w:szCs w:val="21"/>
          <w:u w:val="single"/>
        </w:rPr>
        <w:t xml:space="preserve">       </w:t>
      </w:r>
      <w:r>
        <w:rPr>
          <w:rFonts w:ascii="Times New Roman" w:hAnsi="Times New Roman"/>
          <w:szCs w:val="21"/>
          <w:u w:val="single"/>
        </w:rPr>
        <w:t xml:space="preserve"> </w:t>
      </w:r>
      <w:r>
        <w:rPr>
          <w:rFonts w:hint="eastAsia" w:ascii="Times New Roman" w:hAnsi="Times New Roman"/>
          <w:szCs w:val="21"/>
          <w:u w:val="single"/>
        </w:rPr>
        <w:t xml:space="preserve"> </w:t>
      </w:r>
      <w:r>
        <w:rPr>
          <w:rFonts w:ascii="Times New Roman" w:hAnsi="Times New Roman"/>
          <w:szCs w:val="21"/>
          <w:u w:val="single"/>
        </w:rPr>
        <w:t xml:space="preserve">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</w:t>
      </w:r>
      <w:r>
        <w:rPr>
          <w:rFonts w:hint="eastAsia" w:ascii="Times New Roman" w:hAnsi="Times New Roman"/>
          <w:szCs w:val="21"/>
          <w:u w:val="single"/>
        </w:rPr>
        <w:t xml:space="preserve">   </w:t>
      </w:r>
    </w:p>
    <w:p w14:paraId="27A95DB5">
      <w:pPr>
        <w:ind w:firstLine="5250" w:firstLineChars="25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共   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 页   </w:t>
      </w:r>
      <w:r>
        <w:rPr>
          <w:rFonts w:hint="eastAsia" w:ascii="Times New Roman" w:hAnsi="Times New Roman"/>
          <w:szCs w:val="21"/>
        </w:rPr>
        <w:t xml:space="preserve">         </w:t>
      </w:r>
      <w:r>
        <w:rPr>
          <w:rFonts w:ascii="Times New Roman" w:hAnsi="Times New Roman"/>
          <w:szCs w:val="21"/>
        </w:rPr>
        <w:t xml:space="preserve"> 第  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  页</w:t>
      </w:r>
    </w:p>
    <w:p w14:paraId="49A02AE5">
      <w:pPr>
        <w:spacing w:line="40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送</w:t>
      </w:r>
      <w:r>
        <w:rPr>
          <w:rFonts w:hint="eastAsia" w:ascii="Times New Roman" w:hAnsi="Times New Roman"/>
          <w:szCs w:val="21"/>
        </w:rPr>
        <w:t>校</w:t>
      </w:r>
      <w:r>
        <w:rPr>
          <w:rFonts w:ascii="Times New Roman" w:hAnsi="Times New Roman"/>
          <w:szCs w:val="21"/>
        </w:rPr>
        <w:t>单位：</w:t>
      </w:r>
      <w:r>
        <w:rPr>
          <w:rFonts w:ascii="Times New Roman" w:hAnsi="Times New Roman"/>
          <w:szCs w:val="21"/>
          <w:u w:val="single"/>
        </w:rPr>
        <w:t xml:space="preserve">             </w:t>
      </w:r>
      <w:r>
        <w:rPr>
          <w:rFonts w:hint="eastAsia" w:ascii="Times New Roman" w:hAnsi="Times New Roman"/>
          <w:szCs w:val="21"/>
          <w:u w:val="single"/>
        </w:rPr>
        <w:t xml:space="preserve">    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ascii="Times New Roman" w:hAnsi="Times New Roman"/>
          <w:szCs w:val="21"/>
        </w:rPr>
        <w:t>仪器名称：</w:t>
      </w:r>
      <w:r>
        <w:rPr>
          <w:rFonts w:ascii="Times New Roman" w:hAnsi="Times New Roman"/>
          <w:szCs w:val="21"/>
          <w:u w:val="single"/>
        </w:rPr>
        <w:t xml:space="preserve">   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      </w:t>
      </w:r>
      <w:r>
        <w:rPr>
          <w:rFonts w:ascii="Times New Roman" w:hAnsi="Times New Roman"/>
          <w:szCs w:val="21"/>
        </w:rPr>
        <w:t>出厂编号：</w:t>
      </w:r>
      <w:r>
        <w:rPr>
          <w:rFonts w:ascii="Times New Roman" w:hAnsi="Times New Roman"/>
          <w:szCs w:val="21"/>
          <w:u w:val="single"/>
        </w:rPr>
        <w:t xml:space="preserve">     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 </w:t>
      </w:r>
    </w:p>
    <w:p w14:paraId="323F23F3">
      <w:pPr>
        <w:spacing w:line="400" w:lineRule="exac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</w:rPr>
        <w:t>生产厂家：</w:t>
      </w:r>
      <w:r>
        <w:rPr>
          <w:rFonts w:ascii="Times New Roman" w:hAnsi="Times New Roman"/>
          <w:szCs w:val="21"/>
          <w:u w:val="single"/>
        </w:rPr>
        <w:t xml:space="preserve">          </w:t>
      </w:r>
      <w:r>
        <w:rPr>
          <w:rFonts w:hint="eastAsia" w:ascii="Times New Roman" w:hAnsi="Times New Roman"/>
          <w:szCs w:val="21"/>
          <w:u w:val="single"/>
        </w:rPr>
        <w:t xml:space="preserve">    </w:t>
      </w:r>
      <w:r>
        <w:rPr>
          <w:rFonts w:ascii="Times New Roman" w:hAnsi="Times New Roman"/>
          <w:szCs w:val="21"/>
          <w:u w:val="single"/>
        </w:rPr>
        <w:t xml:space="preserve">      </w:t>
      </w:r>
      <w:r>
        <w:rPr>
          <w:rFonts w:ascii="Times New Roman" w:hAnsi="Times New Roman"/>
          <w:szCs w:val="21"/>
        </w:rPr>
        <w:t>型号规格：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       </w:t>
      </w:r>
      <w:r>
        <w:rPr>
          <w:rFonts w:ascii="Times New Roman" w:hAnsi="Times New Roman"/>
          <w:szCs w:val="21"/>
        </w:rPr>
        <w:t>准 确 度：</w:t>
      </w:r>
      <w:r>
        <w:rPr>
          <w:rFonts w:ascii="Times New Roman" w:hAnsi="Times New Roman"/>
          <w:szCs w:val="21"/>
          <w:u w:val="single"/>
        </w:rPr>
        <w:t xml:space="preserve">     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 </w:t>
      </w:r>
    </w:p>
    <w:p w14:paraId="4B69F2C1">
      <w:pPr>
        <w:spacing w:line="400" w:lineRule="exact"/>
        <w:rPr>
          <w:rFonts w:ascii="Times New Roman" w:hAnsi="Times New Roman"/>
          <w:szCs w:val="21"/>
          <w:u w:val="single"/>
        </w:rPr>
      </w:pPr>
      <w:r>
        <w:rPr>
          <w:rFonts w:ascii="Times New Roman" w:hAnsi="Times New Roman"/>
          <w:szCs w:val="21"/>
        </w:rPr>
        <w:t>被</w:t>
      </w:r>
      <w:r>
        <w:rPr>
          <w:rFonts w:hint="eastAsia" w:ascii="Times New Roman" w:hAnsi="Times New Roman"/>
          <w:szCs w:val="21"/>
        </w:rPr>
        <w:t>校</w:t>
      </w:r>
      <w:r>
        <w:rPr>
          <w:rFonts w:ascii="Times New Roman" w:hAnsi="Times New Roman"/>
          <w:szCs w:val="21"/>
        </w:rPr>
        <w:t xml:space="preserve">仪器状态(完好“√”)：    </w:t>
      </w:r>
      <w:r>
        <w:rPr>
          <w:rFonts w:hint="eastAsia" w:ascii="Times New Roman" w:hAnsi="Times New Roman"/>
          <w:szCs w:val="21"/>
        </w:rPr>
        <w:t>校</w: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>准</w:t>
      </w:r>
      <w:r>
        <w:rPr>
          <w:rFonts w:ascii="Times New Roman" w:hAnsi="Times New Roman"/>
          <w:szCs w:val="21"/>
        </w:rPr>
        <w:t xml:space="preserve"> 前：</w:t>
      </w:r>
      <w:r>
        <w:rPr>
          <w:rFonts w:ascii="Times New Roman" w:hAnsi="Times New Roman"/>
          <w:szCs w:val="21"/>
          <w:u w:val="single"/>
        </w:rPr>
        <w:t xml:space="preserve">  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</w:t>
      </w:r>
      <w:r>
        <w:rPr>
          <w:rFonts w:hint="eastAsia" w:ascii="Times New Roman" w:hAnsi="Times New Roman"/>
          <w:szCs w:val="21"/>
          <w:u w:val="single"/>
        </w:rPr>
        <w:t xml:space="preserve">    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</w:t>
      </w:r>
      <w:r>
        <w:rPr>
          <w:rFonts w:hint="eastAsia" w:ascii="Times New Roman" w:hAnsi="Times New Roman"/>
          <w:szCs w:val="21"/>
        </w:rPr>
        <w:t xml:space="preserve">校 准 </w:t>
      </w:r>
      <w:r>
        <w:rPr>
          <w:rFonts w:ascii="Times New Roman" w:hAnsi="Times New Roman"/>
          <w:szCs w:val="21"/>
        </w:rPr>
        <w:t>后：</w:t>
      </w:r>
      <w:r>
        <w:rPr>
          <w:rFonts w:ascii="Times New Roman" w:hAnsi="Times New Roman"/>
          <w:szCs w:val="21"/>
          <w:u w:val="single"/>
        </w:rPr>
        <w:t xml:space="preserve">    </w:t>
      </w:r>
      <w:r>
        <w:rPr>
          <w:rFonts w:hint="eastAsia" w:ascii="Times New Roman" w:hAnsi="Times New Roman"/>
          <w:szCs w:val="21"/>
          <w:u w:val="single"/>
        </w:rPr>
        <w:t xml:space="preserve">    </w:t>
      </w:r>
      <w:r>
        <w:rPr>
          <w:rFonts w:ascii="Times New Roman" w:hAnsi="Times New Roman"/>
          <w:szCs w:val="21"/>
          <w:u w:val="single"/>
        </w:rPr>
        <w:t xml:space="preserve">    </w:t>
      </w:r>
      <w:r>
        <w:rPr>
          <w:rFonts w:hint="eastAsia" w:ascii="Times New Roman" w:hAnsi="Times New Roman"/>
          <w:szCs w:val="21"/>
          <w:u w:val="single"/>
        </w:rPr>
        <w:t xml:space="preserve">  </w:t>
      </w:r>
      <w:r>
        <w:rPr>
          <w:rFonts w:ascii="Times New Roman" w:hAnsi="Times New Roman"/>
          <w:szCs w:val="21"/>
          <w:u w:val="single"/>
        </w:rPr>
        <w:t xml:space="preserve">    </w:t>
      </w:r>
    </w:p>
    <w:p w14:paraId="42D903C1">
      <w:pPr>
        <w:spacing w:line="400" w:lineRule="exac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校准</w:t>
      </w:r>
      <w:r>
        <w:rPr>
          <w:rFonts w:ascii="Times New Roman" w:hAnsi="Times New Roman"/>
          <w:szCs w:val="21"/>
        </w:rPr>
        <w:t>依据：</w:t>
      </w:r>
      <w:r>
        <w:rPr>
          <w:rFonts w:ascii="Times New Roman" w:hAnsi="Times New Roman"/>
          <w:szCs w:val="21"/>
          <w:u w:val="single"/>
        </w:rPr>
        <w:t xml:space="preserve">                 </w:t>
      </w:r>
      <w:r>
        <w:rPr>
          <w:rFonts w:hint="eastAsia" w:ascii="Times New Roman" w:hAnsi="Times New Roman"/>
          <w:szCs w:val="21"/>
          <w:u w:val="single"/>
        </w:rPr>
        <w:t xml:space="preserve">        </w:t>
      </w:r>
      <w:r>
        <w:rPr>
          <w:rFonts w:ascii="Times New Roman" w:hAnsi="Times New Roman"/>
          <w:szCs w:val="21"/>
          <w:u w:val="single"/>
        </w:rPr>
        <w:t xml:space="preserve">      </w:t>
      </w:r>
      <w:r>
        <w:rPr>
          <w:rFonts w:ascii="Times New Roman" w:hAnsi="Times New Roman"/>
          <w:szCs w:val="21"/>
        </w:rPr>
        <w:t xml:space="preserve"> 环境条件：温度：</w:t>
      </w:r>
      <w:r>
        <w:rPr>
          <w:rFonts w:ascii="Times New Roman" w:hAnsi="Times New Roman"/>
          <w:szCs w:val="21"/>
          <w:u w:val="single"/>
        </w:rPr>
        <w:t xml:space="preserve">    </w:t>
      </w:r>
      <w:r>
        <w:rPr>
          <w:rFonts w:ascii="Times New Roman" w:hAnsi="Times New Roman"/>
          <w:szCs w:val="21"/>
        </w:rPr>
        <w:t>℃  相对湿度：</w:t>
      </w:r>
      <w:r>
        <w:rPr>
          <w:rFonts w:ascii="Times New Roman" w:hAnsi="Times New Roman"/>
          <w:szCs w:val="21"/>
          <w:u w:val="single"/>
        </w:rPr>
        <w:t xml:space="preserve">      </w:t>
      </w:r>
      <w:r>
        <w:rPr>
          <w:rFonts w:ascii="Times New Roman" w:hAnsi="Times New Roman"/>
          <w:szCs w:val="21"/>
        </w:rPr>
        <w:t>%</w:t>
      </w:r>
    </w:p>
    <w:tbl>
      <w:tblPr>
        <w:tblStyle w:val="8"/>
        <w:tblW w:w="91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1729"/>
        <w:gridCol w:w="1500"/>
        <w:gridCol w:w="1380"/>
        <w:gridCol w:w="1560"/>
      </w:tblGrid>
      <w:tr w14:paraId="083B4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2943" w:type="dxa"/>
            <w:tcBorders>
              <w:bottom w:val="single" w:color="auto" w:sz="4" w:space="0"/>
            </w:tcBorders>
          </w:tcPr>
          <w:p w14:paraId="22914DC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标准器名称</w:t>
            </w:r>
          </w:p>
        </w:tc>
        <w:tc>
          <w:tcPr>
            <w:tcW w:w="1729" w:type="dxa"/>
            <w:tcBorders>
              <w:bottom w:val="single" w:color="auto" w:sz="4" w:space="0"/>
            </w:tcBorders>
          </w:tcPr>
          <w:p w14:paraId="07BFCEC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型号规格</w:t>
            </w:r>
          </w:p>
        </w:tc>
        <w:tc>
          <w:tcPr>
            <w:tcW w:w="1500" w:type="dxa"/>
            <w:tcBorders>
              <w:bottom w:val="single" w:color="auto" w:sz="4" w:space="0"/>
            </w:tcBorders>
          </w:tcPr>
          <w:p w14:paraId="15BFF1A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准确度</w:t>
            </w:r>
          </w:p>
        </w:tc>
        <w:tc>
          <w:tcPr>
            <w:tcW w:w="1380" w:type="dxa"/>
            <w:tcBorders>
              <w:bottom w:val="single" w:color="auto" w:sz="4" w:space="0"/>
            </w:tcBorders>
          </w:tcPr>
          <w:p w14:paraId="2552FD3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出厂编号</w:t>
            </w:r>
          </w:p>
        </w:tc>
        <w:tc>
          <w:tcPr>
            <w:tcW w:w="1560" w:type="dxa"/>
            <w:tcBorders>
              <w:bottom w:val="single" w:color="auto" w:sz="4" w:space="0"/>
            </w:tcBorders>
          </w:tcPr>
          <w:p w14:paraId="5041FCE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有效期</w:t>
            </w:r>
          </w:p>
        </w:tc>
      </w:tr>
      <w:tr w14:paraId="4599D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2943" w:type="dxa"/>
          </w:tcPr>
          <w:p w14:paraId="3F64F909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729" w:type="dxa"/>
          </w:tcPr>
          <w:p w14:paraId="0047488F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</w:tcPr>
          <w:p w14:paraId="032090D1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80" w:type="dxa"/>
          </w:tcPr>
          <w:p w14:paraId="1323FA12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 w14:paraId="73CA7B0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14:paraId="10220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2943" w:type="dxa"/>
          </w:tcPr>
          <w:p w14:paraId="43CC8979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729" w:type="dxa"/>
          </w:tcPr>
          <w:p w14:paraId="21694F02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</w:tcPr>
          <w:p w14:paraId="3FE8913F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380" w:type="dxa"/>
          </w:tcPr>
          <w:p w14:paraId="6EC81D80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</w:tcPr>
          <w:p w14:paraId="4466E94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14:paraId="32B11416">
      <w:pPr>
        <w:spacing w:before="312" w:beforeLines="100" w:line="360" w:lineRule="auto"/>
        <w:ind w:right="-4" w:rightChars="-2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B.1 示值误差</w:t>
      </w:r>
    </w:p>
    <w:tbl>
      <w:tblPr>
        <w:tblStyle w:val="8"/>
        <w:tblW w:w="9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1277"/>
        <w:gridCol w:w="1276"/>
        <w:gridCol w:w="1276"/>
        <w:gridCol w:w="1701"/>
        <w:gridCol w:w="1693"/>
      </w:tblGrid>
      <w:tr w14:paraId="4D97D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08" w:type="dxa"/>
            <w:vMerge w:val="restart"/>
          </w:tcPr>
          <w:p w14:paraId="00ADFDC5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标准溶液浓度（</w:t>
            </w:r>
            <w:r>
              <w:rPr>
                <w:rFonts w:ascii="Times New Roman" w:hAnsi="Times New Roman"/>
                <w:szCs w:val="21"/>
              </w:rPr>
              <w:t>mg/L</w:t>
            </w:r>
            <w:r>
              <w:rPr>
                <w:rFonts w:hint="eastAsia" w:ascii="Times New Roman" w:hAnsi="Times New Roman"/>
                <w:szCs w:val="21"/>
              </w:rPr>
              <w:t>）</w:t>
            </w:r>
          </w:p>
        </w:tc>
        <w:tc>
          <w:tcPr>
            <w:tcW w:w="3829" w:type="dxa"/>
            <w:gridSpan w:val="3"/>
          </w:tcPr>
          <w:p w14:paraId="03C7AA9B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测量值（</w:t>
            </w:r>
            <w:r>
              <w:rPr>
                <w:rFonts w:ascii="Times New Roman" w:hAnsi="Times New Roman"/>
                <w:szCs w:val="21"/>
              </w:rPr>
              <w:t>mg/L</w:t>
            </w:r>
            <w:r>
              <w:rPr>
                <w:rFonts w:hint="eastAsia" w:ascii="Times New Roman" w:hAnsi="Times New Roman"/>
                <w:szCs w:val="21"/>
              </w:rPr>
              <w:t>）</w:t>
            </w:r>
          </w:p>
        </w:tc>
        <w:tc>
          <w:tcPr>
            <w:tcW w:w="1701" w:type="dxa"/>
            <w:vMerge w:val="restart"/>
          </w:tcPr>
          <w:p w14:paraId="5E86FC06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平均值（</w:t>
            </w:r>
            <w:r>
              <w:rPr>
                <w:rFonts w:ascii="Times New Roman" w:hAnsi="Times New Roman"/>
                <w:szCs w:val="21"/>
              </w:rPr>
              <w:t>mg/L</w:t>
            </w:r>
            <w:r>
              <w:rPr>
                <w:rFonts w:hint="eastAsia" w:ascii="Times New Roman" w:hAnsi="Times New Roman"/>
                <w:szCs w:val="21"/>
              </w:rPr>
              <w:t>）</w:t>
            </w:r>
          </w:p>
        </w:tc>
        <w:tc>
          <w:tcPr>
            <w:tcW w:w="1693" w:type="dxa"/>
            <w:vMerge w:val="restart"/>
          </w:tcPr>
          <w:p w14:paraId="2F06A116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示值误差</w:t>
            </w:r>
          </w:p>
        </w:tc>
      </w:tr>
      <w:tr w14:paraId="0B954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1808" w:type="dxa"/>
            <w:vMerge w:val="continue"/>
          </w:tcPr>
          <w:p w14:paraId="173F5F2B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7" w:type="dxa"/>
          </w:tcPr>
          <w:p w14:paraId="550810E8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第1次</w:t>
            </w:r>
          </w:p>
        </w:tc>
        <w:tc>
          <w:tcPr>
            <w:tcW w:w="1276" w:type="dxa"/>
          </w:tcPr>
          <w:p w14:paraId="786EA1C9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第2次</w:t>
            </w:r>
          </w:p>
        </w:tc>
        <w:tc>
          <w:tcPr>
            <w:tcW w:w="1276" w:type="dxa"/>
          </w:tcPr>
          <w:p w14:paraId="426C2AD5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第3次</w:t>
            </w:r>
          </w:p>
        </w:tc>
        <w:tc>
          <w:tcPr>
            <w:tcW w:w="1701" w:type="dxa"/>
            <w:vMerge w:val="continue"/>
          </w:tcPr>
          <w:p w14:paraId="379B27D8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93" w:type="dxa"/>
            <w:vMerge w:val="continue"/>
          </w:tcPr>
          <w:p w14:paraId="1252B361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7DC55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808" w:type="dxa"/>
          </w:tcPr>
          <w:p w14:paraId="6F5385B5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7" w:type="dxa"/>
          </w:tcPr>
          <w:p w14:paraId="4D9E4047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</w:tcPr>
          <w:p w14:paraId="2269DCA7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</w:tcPr>
          <w:p w14:paraId="75444A32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01" w:type="dxa"/>
          </w:tcPr>
          <w:p w14:paraId="006ED8A2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93" w:type="dxa"/>
          </w:tcPr>
          <w:p w14:paraId="264F4E76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2EF84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808" w:type="dxa"/>
          </w:tcPr>
          <w:p w14:paraId="267E1946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7" w:type="dxa"/>
          </w:tcPr>
          <w:p w14:paraId="0564BA67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</w:tcPr>
          <w:p w14:paraId="48E40C0C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</w:tcPr>
          <w:p w14:paraId="4A34E6ED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01" w:type="dxa"/>
          </w:tcPr>
          <w:p w14:paraId="699F701D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93" w:type="dxa"/>
          </w:tcPr>
          <w:p w14:paraId="77671E39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64EAE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808" w:type="dxa"/>
          </w:tcPr>
          <w:p w14:paraId="677681B0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7" w:type="dxa"/>
          </w:tcPr>
          <w:p w14:paraId="3C45C2A9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</w:tcPr>
          <w:p w14:paraId="403D5966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</w:tcPr>
          <w:p w14:paraId="62D55B27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701" w:type="dxa"/>
          </w:tcPr>
          <w:p w14:paraId="5D356F49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693" w:type="dxa"/>
          </w:tcPr>
          <w:p w14:paraId="7E581539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14:paraId="53655A12">
      <w:pPr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B.2 重复性</w:t>
      </w:r>
    </w:p>
    <w:tbl>
      <w:tblPr>
        <w:tblStyle w:val="8"/>
        <w:tblW w:w="9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992"/>
        <w:gridCol w:w="851"/>
        <w:gridCol w:w="850"/>
        <w:gridCol w:w="851"/>
        <w:gridCol w:w="850"/>
        <w:gridCol w:w="851"/>
        <w:gridCol w:w="1276"/>
        <w:gridCol w:w="1131"/>
      </w:tblGrid>
      <w:tr w14:paraId="6E991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384" w:type="dxa"/>
            <w:vMerge w:val="restart"/>
          </w:tcPr>
          <w:p w14:paraId="36F39CF3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标准溶液浓度（</w:t>
            </w:r>
            <w:r>
              <w:rPr>
                <w:rFonts w:ascii="Times New Roman" w:hAnsi="Times New Roman"/>
                <w:szCs w:val="21"/>
              </w:rPr>
              <w:t>mg/L</w:t>
            </w:r>
            <w:r>
              <w:rPr>
                <w:rFonts w:hint="eastAsia" w:ascii="Times New Roman" w:hAnsi="Times New Roman"/>
                <w:szCs w:val="21"/>
              </w:rPr>
              <w:t>）</w:t>
            </w:r>
          </w:p>
        </w:tc>
        <w:tc>
          <w:tcPr>
            <w:tcW w:w="5245" w:type="dxa"/>
            <w:gridSpan w:val="6"/>
          </w:tcPr>
          <w:p w14:paraId="6887B1EE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测量值（</w:t>
            </w:r>
            <w:r>
              <w:rPr>
                <w:rFonts w:ascii="Times New Roman" w:hAnsi="Times New Roman"/>
                <w:szCs w:val="21"/>
              </w:rPr>
              <w:t>mg/L</w:t>
            </w:r>
            <w:r>
              <w:rPr>
                <w:rFonts w:hint="eastAsia" w:ascii="Times New Roman" w:hAnsi="Times New Roman"/>
                <w:szCs w:val="21"/>
              </w:rPr>
              <w:t>）</w:t>
            </w:r>
          </w:p>
        </w:tc>
        <w:tc>
          <w:tcPr>
            <w:tcW w:w="1276" w:type="dxa"/>
            <w:vMerge w:val="restart"/>
          </w:tcPr>
          <w:p w14:paraId="1E1A466F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平均值（</w:t>
            </w:r>
            <w:r>
              <w:rPr>
                <w:rFonts w:ascii="Times New Roman" w:hAnsi="Times New Roman"/>
                <w:szCs w:val="21"/>
              </w:rPr>
              <w:t>mg/L</w:t>
            </w:r>
            <w:r>
              <w:rPr>
                <w:rFonts w:hint="eastAsia" w:ascii="Times New Roman" w:hAnsi="Times New Roman"/>
                <w:szCs w:val="21"/>
              </w:rPr>
              <w:t>）</w:t>
            </w:r>
          </w:p>
        </w:tc>
        <w:tc>
          <w:tcPr>
            <w:tcW w:w="1131" w:type="dxa"/>
            <w:vMerge w:val="restart"/>
          </w:tcPr>
          <w:p w14:paraId="3D737ABE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重复性（%）</w:t>
            </w:r>
          </w:p>
        </w:tc>
      </w:tr>
      <w:tr w14:paraId="484E9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384" w:type="dxa"/>
            <w:vMerge w:val="continue"/>
          </w:tcPr>
          <w:p w14:paraId="3E5E0B11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14:paraId="486E7F6B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第1次</w:t>
            </w:r>
          </w:p>
        </w:tc>
        <w:tc>
          <w:tcPr>
            <w:tcW w:w="851" w:type="dxa"/>
          </w:tcPr>
          <w:p w14:paraId="7D29C765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第2次</w:t>
            </w:r>
          </w:p>
        </w:tc>
        <w:tc>
          <w:tcPr>
            <w:tcW w:w="850" w:type="dxa"/>
          </w:tcPr>
          <w:p w14:paraId="2CA686A9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第3次</w:t>
            </w:r>
          </w:p>
        </w:tc>
        <w:tc>
          <w:tcPr>
            <w:tcW w:w="851" w:type="dxa"/>
          </w:tcPr>
          <w:p w14:paraId="7C7F2349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第4次</w:t>
            </w:r>
          </w:p>
        </w:tc>
        <w:tc>
          <w:tcPr>
            <w:tcW w:w="850" w:type="dxa"/>
          </w:tcPr>
          <w:p w14:paraId="2AD3FA2F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第5次</w:t>
            </w:r>
          </w:p>
        </w:tc>
        <w:tc>
          <w:tcPr>
            <w:tcW w:w="851" w:type="dxa"/>
          </w:tcPr>
          <w:p w14:paraId="02F1C377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第6次</w:t>
            </w:r>
          </w:p>
        </w:tc>
        <w:tc>
          <w:tcPr>
            <w:tcW w:w="1276" w:type="dxa"/>
            <w:vMerge w:val="continue"/>
          </w:tcPr>
          <w:p w14:paraId="37E2BFDB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1" w:type="dxa"/>
            <w:vMerge w:val="continue"/>
          </w:tcPr>
          <w:p w14:paraId="2931F001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7CEC0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384" w:type="dxa"/>
          </w:tcPr>
          <w:p w14:paraId="14208967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14:paraId="3C2EBD9D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</w:tcPr>
          <w:p w14:paraId="00C41EA9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</w:tcPr>
          <w:p w14:paraId="24858778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</w:tcPr>
          <w:p w14:paraId="02987FFB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0" w:type="dxa"/>
          </w:tcPr>
          <w:p w14:paraId="00457F77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</w:tcPr>
          <w:p w14:paraId="2EB03521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76" w:type="dxa"/>
          </w:tcPr>
          <w:p w14:paraId="17275AAA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1" w:type="dxa"/>
          </w:tcPr>
          <w:p w14:paraId="008F23C6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14:paraId="2623CBDA">
      <w:pPr>
        <w:spacing w:line="360" w:lineRule="auto"/>
        <w:rPr>
          <w:szCs w:val="21"/>
        </w:rPr>
      </w:pPr>
      <w:r>
        <w:rPr>
          <w:rFonts w:hint="eastAsia" w:ascii="Times New Roman" w:hAnsi="Times New Roman"/>
          <w:szCs w:val="21"/>
        </w:rPr>
        <w:t>B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>3 稳定性</w:t>
      </w:r>
    </w:p>
    <w:tbl>
      <w:tblPr>
        <w:tblStyle w:val="8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134"/>
        <w:gridCol w:w="1134"/>
        <w:gridCol w:w="1134"/>
        <w:gridCol w:w="993"/>
        <w:gridCol w:w="992"/>
        <w:gridCol w:w="1843"/>
      </w:tblGrid>
      <w:tr w14:paraId="41A1F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809" w:type="dxa"/>
            <w:vMerge w:val="restart"/>
          </w:tcPr>
          <w:p w14:paraId="1BFE8F4B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标准溶液浓度（</w:t>
            </w:r>
            <w:r>
              <w:rPr>
                <w:rFonts w:ascii="Times New Roman" w:hAnsi="Times New Roman"/>
                <w:szCs w:val="21"/>
              </w:rPr>
              <w:t>mg/L</w:t>
            </w:r>
            <w:r>
              <w:rPr>
                <w:rFonts w:hint="eastAsia" w:ascii="Times New Roman" w:hAnsi="Times New Roman"/>
                <w:szCs w:val="21"/>
              </w:rPr>
              <w:t>）</w:t>
            </w:r>
          </w:p>
        </w:tc>
        <w:tc>
          <w:tcPr>
            <w:tcW w:w="5387" w:type="dxa"/>
            <w:gridSpan w:val="5"/>
          </w:tcPr>
          <w:p w14:paraId="5EF87BB5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测量值（</w:t>
            </w:r>
            <w:r>
              <w:rPr>
                <w:rFonts w:ascii="Times New Roman" w:hAnsi="Times New Roman"/>
                <w:szCs w:val="21"/>
              </w:rPr>
              <w:t>mg/L</w:t>
            </w:r>
            <w:r>
              <w:rPr>
                <w:rFonts w:hint="eastAsia" w:ascii="Times New Roman" w:hAnsi="Times New Roman"/>
                <w:szCs w:val="21"/>
              </w:rPr>
              <w:t>）</w:t>
            </w:r>
          </w:p>
        </w:tc>
        <w:tc>
          <w:tcPr>
            <w:tcW w:w="1843" w:type="dxa"/>
            <w:vMerge w:val="restart"/>
          </w:tcPr>
          <w:p w14:paraId="7A3DCC93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稳定性（%）</w:t>
            </w:r>
          </w:p>
        </w:tc>
      </w:tr>
      <w:tr w14:paraId="21CD3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" w:hRule="atLeast"/>
        </w:trPr>
        <w:tc>
          <w:tcPr>
            <w:tcW w:w="1809" w:type="dxa"/>
            <w:vMerge w:val="continue"/>
          </w:tcPr>
          <w:p w14:paraId="59F945BE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</w:tcPr>
          <w:p w14:paraId="796EF26C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初始示值</w:t>
            </w:r>
          </w:p>
        </w:tc>
        <w:tc>
          <w:tcPr>
            <w:tcW w:w="1134" w:type="dxa"/>
          </w:tcPr>
          <w:p w14:paraId="269E1B63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第1次</w:t>
            </w:r>
          </w:p>
        </w:tc>
        <w:tc>
          <w:tcPr>
            <w:tcW w:w="1134" w:type="dxa"/>
          </w:tcPr>
          <w:p w14:paraId="7F6A078A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第2次</w:t>
            </w:r>
          </w:p>
        </w:tc>
        <w:tc>
          <w:tcPr>
            <w:tcW w:w="993" w:type="dxa"/>
          </w:tcPr>
          <w:p w14:paraId="73F29B2F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第3次</w:t>
            </w:r>
          </w:p>
        </w:tc>
        <w:tc>
          <w:tcPr>
            <w:tcW w:w="992" w:type="dxa"/>
          </w:tcPr>
          <w:p w14:paraId="22C0D4E2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第4次</w:t>
            </w:r>
          </w:p>
        </w:tc>
        <w:tc>
          <w:tcPr>
            <w:tcW w:w="1843" w:type="dxa"/>
            <w:vMerge w:val="continue"/>
          </w:tcPr>
          <w:p w14:paraId="242936B9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54773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809" w:type="dxa"/>
          </w:tcPr>
          <w:p w14:paraId="73DF4C79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</w:tcPr>
          <w:p w14:paraId="2D7CAE17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</w:tcPr>
          <w:p w14:paraId="4A6285D4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</w:tcPr>
          <w:p w14:paraId="19D9AA42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3" w:type="dxa"/>
          </w:tcPr>
          <w:p w14:paraId="5DC91BBD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92" w:type="dxa"/>
          </w:tcPr>
          <w:p w14:paraId="310F3055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</w:tcPr>
          <w:p w14:paraId="4F21AB77">
            <w:pPr>
              <w:spacing w:line="360" w:lineRule="auto"/>
              <w:ind w:right="-4" w:rightChars="-2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14:paraId="5B302AC4">
      <w:pPr>
        <w:spacing w:line="360" w:lineRule="auto"/>
        <w:rPr>
          <w:szCs w:val="21"/>
          <w:u w:val="single"/>
        </w:rPr>
      </w:pPr>
      <w:r>
        <w:rPr>
          <w:rFonts w:hint="eastAsia"/>
          <w:szCs w:val="21"/>
        </w:rPr>
        <w:t>测量不确定度：</w:t>
      </w:r>
      <w:r>
        <w:rPr>
          <w:rFonts w:hint="eastAsia"/>
          <w:szCs w:val="21"/>
          <w:u w:val="single"/>
        </w:rPr>
        <w:t xml:space="preserve">                    </w:t>
      </w:r>
      <w:r>
        <w:rPr>
          <w:rFonts w:hint="eastAsia"/>
          <w:szCs w:val="21"/>
        </w:rPr>
        <w:t>校准地点：本实验室□</w:t>
      </w:r>
      <w:r>
        <w:rPr>
          <w:rFonts w:hint="eastAsia"/>
          <w:szCs w:val="21"/>
          <w:u w:val="single"/>
        </w:rPr>
        <w:t xml:space="preserve">             </w:t>
      </w:r>
      <w:r>
        <w:rPr>
          <w:rFonts w:hint="eastAsia"/>
          <w:szCs w:val="21"/>
        </w:rPr>
        <w:t>现场</w:t>
      </w:r>
      <w:r>
        <w:rPr>
          <w:rFonts w:hint="eastAsia"/>
          <w:szCs w:val="21"/>
        </w:rPr>
        <w:sym w:font="Wingdings 2" w:char="00A3"/>
      </w:r>
      <w:r>
        <w:rPr>
          <w:rFonts w:hint="eastAsia"/>
          <w:szCs w:val="21"/>
          <w:u w:val="single"/>
        </w:rPr>
        <w:t xml:space="preserve">              </w:t>
      </w:r>
      <w:r>
        <w:rPr>
          <w:rFonts w:hint="eastAsia"/>
          <w:szCs w:val="21"/>
        </w:rPr>
        <w:t xml:space="preserve">             </w:t>
      </w:r>
    </w:p>
    <w:p w14:paraId="0E91ED48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校准员： </w:t>
      </w:r>
      <w:r>
        <w:rPr>
          <w:rFonts w:hint="eastAsia"/>
          <w:szCs w:val="21"/>
          <w:u w:val="single"/>
        </w:rPr>
        <w:t xml:space="preserve">                 </w:t>
      </w:r>
      <w:r>
        <w:rPr>
          <w:rFonts w:hint="eastAsia"/>
          <w:szCs w:val="21"/>
        </w:rPr>
        <w:t xml:space="preserve"> 核验员：</w:t>
      </w:r>
      <w:r>
        <w:rPr>
          <w:rFonts w:hint="eastAsia"/>
          <w:szCs w:val="21"/>
          <w:u w:val="single"/>
        </w:rPr>
        <w:t xml:space="preserve">               </w:t>
      </w:r>
      <w:r>
        <w:rPr>
          <w:rFonts w:hint="eastAsia"/>
          <w:szCs w:val="21"/>
        </w:rPr>
        <w:t>校准日期：</w:t>
      </w:r>
      <w:r>
        <w:rPr>
          <w:rFonts w:hint="eastAsia"/>
          <w:szCs w:val="21"/>
          <w:u w:val="single"/>
        </w:rPr>
        <w:t xml:space="preserve">       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>日</w:t>
      </w:r>
    </w:p>
    <w:p w14:paraId="40DA8F43">
      <w:pPr>
        <w:spacing w:line="440" w:lineRule="exact"/>
        <w:ind w:right="-4" w:rightChars="-2"/>
        <w:jc w:val="left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附录C</w:t>
      </w:r>
    </w:p>
    <w:p w14:paraId="79780256">
      <w:pPr>
        <w:pStyle w:val="3"/>
        <w:spacing w:line="480" w:lineRule="auto"/>
        <w:ind w:right="11"/>
        <w:jc w:val="center"/>
        <w:rPr>
          <w:rFonts w:ascii="Times New Roman" w:hAnsi="Times New Roman" w:eastAsia="黑体"/>
          <w:sz w:val="28"/>
        </w:rPr>
      </w:pPr>
      <w:r>
        <w:rPr>
          <w:rFonts w:hint="eastAsia" w:ascii="Times New Roman" w:hAnsi="Times New Roman" w:eastAsia="黑体"/>
          <w:sz w:val="28"/>
        </w:rPr>
        <w:t>氟化物水质自动分析仪校准证书内页格式（推荐）</w:t>
      </w:r>
    </w:p>
    <w:p w14:paraId="0FC0AF7E">
      <w:pPr>
        <w:pStyle w:val="3"/>
        <w:spacing w:line="480" w:lineRule="auto"/>
        <w:ind w:right="11"/>
        <w:jc w:val="center"/>
        <w:rPr>
          <w:rFonts w:ascii="Times New Roman" w:hAnsi="Times New Roman" w:eastAsia="黑体"/>
          <w:sz w:val="28"/>
        </w:rPr>
      </w:pPr>
    </w:p>
    <w:tbl>
      <w:tblPr>
        <w:tblStyle w:val="8"/>
        <w:tblW w:w="9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1"/>
      </w:tblGrid>
      <w:tr w14:paraId="0303C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7" w:hRule="atLeast"/>
        </w:trPr>
        <w:tc>
          <w:tcPr>
            <w:tcW w:w="9031" w:type="dxa"/>
          </w:tcPr>
          <w:p w14:paraId="0B012BFE">
            <w:pPr>
              <w:spacing w:before="312" w:beforeLines="100" w:line="360" w:lineRule="auto"/>
              <w:ind w:right="-4" w:rightChars="-2"/>
              <w:rPr>
                <w:rFonts w:asciiTheme="minorEastAsia" w:hAnsiTheme="minorEastAsia" w:eastAsia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C.1 示值误差：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                                     </w:t>
            </w:r>
          </w:p>
          <w:p w14:paraId="1FA49935">
            <w:pPr>
              <w:spacing w:before="312" w:beforeLines="100" w:line="360" w:lineRule="auto"/>
              <w:ind w:right="-4" w:rightChars="-2"/>
              <w:rPr>
                <w:rFonts w:asciiTheme="minorEastAsia" w:hAnsiTheme="minorEastAsia" w:eastAsia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C.2 重复性：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                             </w:t>
            </w:r>
          </w:p>
          <w:p w14:paraId="3DD94738">
            <w:pPr>
              <w:spacing w:before="312" w:beforeLines="100" w:line="360" w:lineRule="auto"/>
              <w:ind w:right="-4" w:rightChars="-2"/>
              <w:rPr>
                <w:rFonts w:asciiTheme="minorEastAsia" w:hAnsiTheme="minorEastAsia" w:eastAsiaTheme="minorEastAsia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C.3 稳定性：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                                </w:t>
            </w:r>
          </w:p>
          <w:p w14:paraId="4F80352C">
            <w:pPr>
              <w:spacing w:before="312" w:beforeLines="100" w:line="360" w:lineRule="auto"/>
              <w:ind w:right="-4" w:rightChars="-2"/>
              <w:rPr>
                <w:rFonts w:asciiTheme="minorEastAsia" w:hAnsiTheme="minorEastAsia" w:eastAsiaTheme="minorEastAsia"/>
                <w:szCs w:val="21"/>
              </w:rPr>
            </w:pPr>
          </w:p>
          <w:p w14:paraId="4F112D38">
            <w:pPr>
              <w:tabs>
                <w:tab w:val="right" w:pos="10204"/>
              </w:tabs>
              <w:spacing w:line="360" w:lineRule="auto"/>
              <w:rPr>
                <w:rFonts w:ascii="宋体" w:hAnsi="宋体" w:cs="宋体"/>
                <w:szCs w:val="21"/>
                <w:u w:val="single"/>
              </w:rPr>
            </w:pPr>
            <w:r>
              <w:rPr>
                <w:rFonts w:hint="eastAsia" w:ascii="宋体" w:hAnsi="宋体" w:cs="宋体"/>
                <w:szCs w:val="21"/>
              </w:rPr>
              <w:t>示值误差校准结果的不确定度：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                  </w:t>
            </w:r>
          </w:p>
          <w:p w14:paraId="378C5043">
            <w:pPr>
              <w:tabs>
                <w:tab w:val="right" w:pos="10204"/>
              </w:tabs>
              <w:spacing w:line="340" w:lineRule="exact"/>
              <w:rPr>
                <w:b/>
                <w:sz w:val="24"/>
              </w:rPr>
            </w:pPr>
          </w:p>
          <w:p w14:paraId="54038DF2">
            <w:pPr>
              <w:pStyle w:val="3"/>
              <w:ind w:right="12"/>
              <w:rPr>
                <w:rFonts w:ascii="Times New Roman" w:hAnsi="Times New Roman" w:eastAsia="黑体"/>
                <w:sz w:val="28"/>
              </w:rPr>
            </w:pPr>
          </w:p>
          <w:p w14:paraId="771870DB">
            <w:pPr>
              <w:pStyle w:val="3"/>
              <w:ind w:right="12"/>
              <w:rPr>
                <w:rFonts w:ascii="Times New Roman" w:hAnsi="Times New Roman"/>
                <w:szCs w:val="21"/>
              </w:rPr>
            </w:pPr>
          </w:p>
        </w:tc>
      </w:tr>
      <w:tr w14:paraId="24E85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</w:trPr>
        <w:tc>
          <w:tcPr>
            <w:tcW w:w="9031" w:type="dxa"/>
          </w:tcPr>
          <w:p w14:paraId="53C57AE4">
            <w:pPr>
              <w:spacing w:line="480" w:lineRule="auto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本证书中的校准结果均可溯源至国际单位制（SI）单位和社会公用计量标准。</w:t>
            </w:r>
          </w:p>
          <w:p w14:paraId="506E0BDD">
            <w:pPr>
              <w:spacing w:line="48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校准结果不确定度的评估和表述均符合JJF1059</w:t>
            </w:r>
            <w:r>
              <w:rPr>
                <w:rFonts w:hint="eastAsia" w:ascii="Times New Roman" w:hAnsi="Times New Roman"/>
                <w:szCs w:val="21"/>
              </w:rPr>
              <w:t>.1</w:t>
            </w:r>
            <w:r>
              <w:rPr>
                <w:rFonts w:ascii="Times New Roman" w:hAnsi="Times New Roman"/>
                <w:szCs w:val="21"/>
              </w:rPr>
              <w:t>（等同于ISO GUM）的要求。</w:t>
            </w:r>
          </w:p>
        </w:tc>
      </w:tr>
      <w:tr w14:paraId="5F92B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5" w:hRule="atLeast"/>
        </w:trPr>
        <w:tc>
          <w:tcPr>
            <w:tcW w:w="9031" w:type="dxa"/>
          </w:tcPr>
          <w:p w14:paraId="0016E1A4">
            <w:pPr>
              <w:numPr>
                <w:ilvl w:val="0"/>
                <w:numId w:val="1"/>
              </w:numPr>
              <w:spacing w:line="48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被校准</w:t>
            </w:r>
            <w:r>
              <w:rPr>
                <w:rFonts w:hint="eastAsia" w:ascii="Times New Roman" w:hAnsi="Times New Roman"/>
                <w:szCs w:val="21"/>
              </w:rPr>
              <w:t>检测仪</w:t>
            </w:r>
            <w:r>
              <w:rPr>
                <w:rFonts w:ascii="Times New Roman" w:hAnsi="Times New Roman"/>
                <w:szCs w:val="21"/>
              </w:rPr>
              <w:t>修理后，应立即进行校准。</w:t>
            </w:r>
          </w:p>
          <w:p w14:paraId="3BF95D0F">
            <w:pPr>
              <w:numPr>
                <w:ilvl w:val="0"/>
                <w:numId w:val="1"/>
              </w:numPr>
              <w:spacing w:line="48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在使用过程中，如对被校准</w:t>
            </w:r>
            <w:r>
              <w:rPr>
                <w:rFonts w:hint="eastAsia" w:ascii="Times New Roman" w:hAnsi="Times New Roman"/>
                <w:szCs w:val="21"/>
              </w:rPr>
              <w:t>检测仪</w:t>
            </w:r>
            <w:r>
              <w:rPr>
                <w:rFonts w:ascii="Times New Roman" w:hAnsi="Times New Roman"/>
                <w:szCs w:val="21"/>
              </w:rPr>
              <w:t>的技术指标产生怀疑，请重新校准。</w:t>
            </w:r>
          </w:p>
          <w:p w14:paraId="412E60AE">
            <w:pPr>
              <w:spacing w:line="480" w:lineRule="auto"/>
              <w:rPr>
                <w:rFonts w:ascii="Times New Roman" w:hAnsi="Times New Roman"/>
                <w:szCs w:val="21"/>
              </w:rPr>
            </w:pPr>
          </w:p>
        </w:tc>
      </w:tr>
    </w:tbl>
    <w:p w14:paraId="70E6387E">
      <w:pPr>
        <w:spacing w:line="480" w:lineRule="auto"/>
        <w:rPr>
          <w:rFonts w:ascii="Times New Roman" w:hAnsi="Times New Roman"/>
          <w:szCs w:val="21"/>
        </w:rPr>
      </w:pPr>
      <w:r>
        <w:rPr>
          <w:rFonts w:ascii="Times New Roman" w:hAnsi="Times New Roman" w:eastAsia="黑体"/>
          <w:sz w:val="24"/>
        </w:rPr>
        <w:br w:type="page"/>
      </w:r>
      <w:r>
        <w:rPr>
          <w:rFonts w:hint="eastAsia" w:ascii="Times New Roman" w:hAnsi="Times New Roman" w:eastAsia="黑体"/>
          <w:bCs/>
          <w:sz w:val="28"/>
        </w:rPr>
        <w:t>附录D</w:t>
      </w:r>
    </w:p>
    <w:p w14:paraId="76534649">
      <w:pPr>
        <w:spacing w:after="312" w:afterLines="100"/>
        <w:ind w:firstLine="280" w:firstLineChars="100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氟化物水质自动分析仪相对示值误差校准结果的不确定度评定示例</w:t>
      </w:r>
    </w:p>
    <w:p w14:paraId="55ECB652">
      <w:pPr>
        <w:adjustRightInd w:val="0"/>
        <w:spacing w:line="440" w:lineRule="exact"/>
        <w:textAlignment w:val="baseline"/>
        <w:rPr>
          <w:rFonts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D.1 </w:t>
      </w:r>
      <w:r>
        <w:rPr>
          <w:rFonts w:asciiTheme="minorEastAsia" w:hAnsiTheme="minorEastAsia" w:eastAsiaTheme="minorEastAsia"/>
          <w:sz w:val="24"/>
        </w:rPr>
        <w:t>概述</w:t>
      </w:r>
    </w:p>
    <w:p w14:paraId="3A242A95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</w:t>
      </w:r>
      <w:r>
        <w:rPr>
          <w:rFonts w:asciiTheme="minorEastAsia" w:hAnsiTheme="minorEastAsia" w:eastAsiaTheme="minorEastAsia"/>
          <w:sz w:val="24"/>
        </w:rPr>
        <w:t>.1</w:t>
      </w:r>
      <w:r>
        <w:rPr>
          <w:rFonts w:hint="eastAsia" w:asciiTheme="minorEastAsia" w:hAnsiTheme="minorEastAsia" w:eastAsiaTheme="minorEastAsia"/>
          <w:sz w:val="24"/>
        </w:rPr>
        <w:t>.1 校准方法：按照本校准规范对分析仪进行校准</w:t>
      </w:r>
      <w:r>
        <w:rPr>
          <w:rFonts w:asciiTheme="minorEastAsia" w:hAnsiTheme="minorEastAsia" w:eastAsiaTheme="minorEastAsia"/>
          <w:sz w:val="24"/>
        </w:rPr>
        <w:t>。</w:t>
      </w:r>
    </w:p>
    <w:p w14:paraId="72F5935A">
      <w:pPr>
        <w:tabs>
          <w:tab w:val="left" w:pos="360"/>
        </w:tabs>
        <w:adjustRightInd w:val="0"/>
        <w:spacing w:line="440" w:lineRule="exact"/>
        <w:textAlignment w:val="baseline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</w:t>
      </w:r>
      <w:r>
        <w:rPr>
          <w:rFonts w:asciiTheme="minorEastAsia" w:hAnsiTheme="minorEastAsia" w:eastAsiaTheme="minorEastAsia"/>
          <w:sz w:val="24"/>
        </w:rPr>
        <w:t>.1.</w:t>
      </w:r>
      <w:r>
        <w:rPr>
          <w:rFonts w:hint="eastAsia" w:asciiTheme="minorEastAsia" w:hAnsiTheme="minorEastAsia" w:eastAsiaTheme="minorEastAsia"/>
          <w:sz w:val="24"/>
        </w:rPr>
        <w:t>2 环境条件：符合本校准规范规定的环境条件</w:t>
      </w:r>
      <w:r>
        <w:rPr>
          <w:rFonts w:asciiTheme="minorEastAsia" w:hAnsiTheme="minorEastAsia" w:eastAsiaTheme="minorEastAsia"/>
          <w:sz w:val="24"/>
        </w:rPr>
        <w:t>。</w:t>
      </w:r>
    </w:p>
    <w:p w14:paraId="525A90B2">
      <w:pPr>
        <w:pStyle w:val="3"/>
        <w:spacing w:line="360" w:lineRule="auto"/>
        <w:ind w:right="11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</w:rPr>
        <w:t>D</w:t>
      </w:r>
      <w:r>
        <w:rPr>
          <w:rFonts w:asciiTheme="minorEastAsia" w:hAnsiTheme="minorEastAsia" w:eastAsiaTheme="minorEastAsia"/>
          <w:sz w:val="24"/>
        </w:rPr>
        <w:t>.1.</w:t>
      </w:r>
      <w:r>
        <w:rPr>
          <w:rFonts w:hint="eastAsia" w:asciiTheme="minorEastAsia" w:hAnsiTheme="minorEastAsia" w:eastAsiaTheme="minorEastAsia"/>
          <w:sz w:val="24"/>
        </w:rPr>
        <w:t xml:space="preserve">3 </w:t>
      </w:r>
      <w:r>
        <w:rPr>
          <w:rFonts w:asciiTheme="minorEastAsia" w:hAnsiTheme="minorEastAsia" w:eastAsiaTheme="minorEastAsia"/>
          <w:sz w:val="24"/>
        </w:rPr>
        <w:t>测量标准：</w:t>
      </w:r>
      <w:r>
        <w:rPr>
          <w:rFonts w:hint="eastAsia" w:asciiTheme="minorEastAsia" w:hAnsiTheme="minorEastAsia" w:eastAsiaTheme="minorEastAsia"/>
          <w:sz w:val="24"/>
        </w:rPr>
        <w:t>氟化物有证标准物质：浓度为50.0</w:t>
      </w:r>
      <w:r>
        <w:rPr>
          <w:rFonts w:asciiTheme="minorEastAsia" w:hAnsiTheme="minorEastAsia" w:eastAsiaTheme="minorEastAsia"/>
          <w:sz w:val="24"/>
        </w:rPr>
        <w:t>mg/L</w:t>
      </w:r>
      <w:r>
        <w:rPr>
          <w:rFonts w:hint="eastAsia" w:asciiTheme="minorEastAsia" w:hAnsiTheme="minorEastAsia" w:eastAsiaTheme="minorEastAsia"/>
          <w:sz w:val="24"/>
        </w:rPr>
        <w:t>，</w:t>
      </w:r>
      <w:r>
        <w:rPr>
          <w:rFonts w:hint="eastAsia" w:asciiTheme="minorEastAsia" w:hAnsiTheme="minorEastAsia" w:eastAsiaTheme="minorEastAsia"/>
          <w:i/>
          <w:sz w:val="24"/>
        </w:rPr>
        <w:t>U</w:t>
      </w:r>
      <w:r>
        <w:rPr>
          <w:rFonts w:hint="eastAsia" w:asciiTheme="minorEastAsia" w:hAnsiTheme="minorEastAsia" w:eastAsiaTheme="minorEastAsia"/>
          <w:sz w:val="24"/>
          <w:vertAlign w:val="subscript"/>
        </w:rPr>
        <w:t>rel</w:t>
      </w:r>
      <w:r>
        <w:rPr>
          <w:rFonts w:hint="eastAsia" w:asciiTheme="minorEastAsia" w:hAnsiTheme="minorEastAsia" w:eastAsiaTheme="minorEastAsia"/>
          <w:sz w:val="24"/>
        </w:rPr>
        <w:t>=2%（</w:t>
      </w:r>
      <w:r>
        <w:rPr>
          <w:rFonts w:hint="eastAsia" w:asciiTheme="minorEastAsia" w:hAnsiTheme="minorEastAsia" w:eastAsiaTheme="minorEastAsia"/>
          <w:i/>
          <w:sz w:val="24"/>
        </w:rPr>
        <w:t>k</w:t>
      </w:r>
      <w:r>
        <w:rPr>
          <w:rFonts w:hint="eastAsia" w:asciiTheme="minorEastAsia" w:hAnsiTheme="minorEastAsia" w:eastAsiaTheme="minorEastAsia"/>
          <w:sz w:val="24"/>
        </w:rPr>
        <w:t>=2），</w:t>
      </w:r>
      <w:r>
        <w:rPr>
          <w:rFonts w:hint="eastAsia" w:hAnsi="宋体" w:cs="宋体"/>
          <w:spacing w:val="2"/>
          <w:sz w:val="24"/>
          <w:shd w:val="clear" w:color="auto" w:fill="FFFFFF"/>
        </w:rPr>
        <w:t>单标线吸量管：A级，单标线容量瓶：A级。</w:t>
      </w:r>
      <w:r>
        <w:rPr>
          <w:rFonts w:hint="eastAsia" w:asciiTheme="minorEastAsia" w:hAnsiTheme="minorEastAsia" w:eastAsiaTheme="minorEastAsia"/>
          <w:sz w:val="24"/>
          <w:szCs w:val="24"/>
        </w:rPr>
        <w:t>用1mL单标线吸量管准确移取质量浓度为50.0mg/L的氟化物标准物质，置于10 mL单标线容量瓶中，用试验用空白水稀释至刻度，定容并摇匀，即得10mL质量浓度为5.0mg/L的氟化物标准溶液。</w:t>
      </w:r>
    </w:p>
    <w:p w14:paraId="46097E43">
      <w:pPr>
        <w:tabs>
          <w:tab w:val="left" w:pos="360"/>
        </w:tabs>
        <w:adjustRightInd w:val="0"/>
        <w:spacing w:line="440" w:lineRule="exact"/>
        <w:textAlignment w:val="baseline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</w:t>
      </w:r>
      <w:r>
        <w:rPr>
          <w:rFonts w:asciiTheme="minorEastAsia" w:hAnsiTheme="minorEastAsia" w:eastAsiaTheme="minorEastAsia"/>
          <w:sz w:val="24"/>
        </w:rPr>
        <w:t>.1.</w:t>
      </w:r>
      <w:r>
        <w:rPr>
          <w:rFonts w:hint="eastAsia" w:asciiTheme="minorEastAsia" w:hAnsiTheme="minorEastAsia" w:eastAsiaTheme="minorEastAsia"/>
          <w:sz w:val="24"/>
        </w:rPr>
        <w:t xml:space="preserve">4 </w:t>
      </w:r>
      <w:r>
        <w:rPr>
          <w:rFonts w:asciiTheme="minorEastAsia" w:hAnsiTheme="minorEastAsia" w:eastAsiaTheme="minorEastAsia"/>
          <w:sz w:val="24"/>
        </w:rPr>
        <w:t>被测对象：工作量程为</w:t>
      </w:r>
      <w:r>
        <w:rPr>
          <w:rFonts w:hint="eastAsia" w:asciiTheme="minorEastAsia" w:hAnsiTheme="minorEastAsia" w:eastAsiaTheme="minorEastAsia"/>
          <w:sz w:val="24"/>
        </w:rPr>
        <w:t>（0～10）</w:t>
      </w:r>
      <w:r>
        <w:rPr>
          <w:rFonts w:asciiTheme="minorEastAsia" w:hAnsiTheme="minorEastAsia" w:eastAsiaTheme="minorEastAsia"/>
          <w:sz w:val="24"/>
        </w:rPr>
        <w:t>mg/L的</w:t>
      </w:r>
      <w:r>
        <w:rPr>
          <w:rFonts w:hint="eastAsia" w:asciiTheme="minorEastAsia" w:hAnsiTheme="minorEastAsia" w:eastAsiaTheme="minorEastAsia"/>
          <w:sz w:val="24"/>
        </w:rPr>
        <w:t>氟化物水质自动分析仪</w:t>
      </w:r>
      <w:r>
        <w:rPr>
          <w:rFonts w:asciiTheme="minorEastAsia" w:hAnsiTheme="minorEastAsia" w:eastAsiaTheme="minorEastAsia"/>
          <w:sz w:val="24"/>
        </w:rPr>
        <w:t>。</w:t>
      </w:r>
    </w:p>
    <w:p w14:paraId="4E21C430">
      <w:pPr>
        <w:pStyle w:val="3"/>
        <w:spacing w:line="360" w:lineRule="auto"/>
        <w:ind w:right="11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</w:t>
      </w:r>
      <w:r>
        <w:rPr>
          <w:rFonts w:asciiTheme="minorEastAsia" w:hAnsiTheme="minorEastAsia" w:eastAsiaTheme="minorEastAsia"/>
          <w:sz w:val="24"/>
        </w:rPr>
        <w:t>.1.</w:t>
      </w:r>
      <w:r>
        <w:rPr>
          <w:rFonts w:hint="eastAsia" w:asciiTheme="minorEastAsia" w:hAnsiTheme="minorEastAsia" w:eastAsiaTheme="minorEastAsia"/>
          <w:sz w:val="24"/>
        </w:rPr>
        <w:t xml:space="preserve">5 </w:t>
      </w:r>
      <w:r>
        <w:rPr>
          <w:rFonts w:asciiTheme="minorEastAsia" w:hAnsiTheme="minorEastAsia" w:eastAsiaTheme="minorEastAsia"/>
          <w:sz w:val="24"/>
        </w:rPr>
        <w:t>测量</w:t>
      </w:r>
      <w:r>
        <w:rPr>
          <w:rFonts w:hint="eastAsia" w:asciiTheme="minorEastAsia" w:hAnsiTheme="minorEastAsia" w:eastAsiaTheme="minorEastAsia"/>
          <w:sz w:val="24"/>
        </w:rPr>
        <w:t>方法</w:t>
      </w:r>
      <w:r>
        <w:rPr>
          <w:rFonts w:asciiTheme="minorEastAsia" w:hAnsiTheme="minorEastAsia" w:eastAsiaTheme="minorEastAsia"/>
          <w:sz w:val="24"/>
        </w:rPr>
        <w:t>：</w:t>
      </w:r>
    </w:p>
    <w:p w14:paraId="373C8243">
      <w:pPr>
        <w:adjustRightInd w:val="0"/>
        <w:spacing w:line="440" w:lineRule="exact"/>
        <w:ind w:firstLine="480" w:firstLineChars="200"/>
        <w:textAlignment w:val="baseline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在正常工作条件下，分析仪通电预热稳定后，选择约为工作量程50%的氟化物标准溶液进行测量，重复测量3次，取3次测量值的算术平均值作为分析仪的示值。  </w:t>
      </w:r>
    </w:p>
    <w:p w14:paraId="6179EA5E">
      <w:pPr>
        <w:adjustRightInd w:val="0"/>
        <w:spacing w:line="440" w:lineRule="exact"/>
        <w:textAlignment w:val="baseline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D.</w:t>
      </w:r>
      <w:r>
        <w:rPr>
          <w:rFonts w:asciiTheme="minorEastAsia" w:hAnsiTheme="minorEastAsia" w:eastAsiaTheme="minorEastAsia"/>
          <w:sz w:val="24"/>
        </w:rPr>
        <w:t>2</w:t>
      </w:r>
      <w:r>
        <w:rPr>
          <w:rFonts w:hint="eastAsia" w:asciiTheme="minorEastAsia" w:hAnsiTheme="minorEastAsia" w:eastAsiaTheme="minorEastAsia"/>
          <w:sz w:val="24"/>
        </w:rPr>
        <w:t xml:space="preserve"> 测量</w:t>
      </w:r>
      <w:r>
        <w:rPr>
          <w:rFonts w:asciiTheme="minorEastAsia" w:hAnsiTheme="minorEastAsia" w:eastAsiaTheme="minorEastAsia"/>
          <w:sz w:val="24"/>
        </w:rPr>
        <w:t>模型</w:t>
      </w:r>
      <w:r>
        <w:rPr>
          <w:rFonts w:hint="eastAsia" w:asciiTheme="minorEastAsia" w:hAnsiTheme="minorEastAsia" w:eastAsiaTheme="minorEastAsia"/>
          <w:sz w:val="24"/>
        </w:rPr>
        <w:t>：</w:t>
      </w:r>
    </w:p>
    <w:p w14:paraId="4F4DFEEE">
      <w:pPr>
        <w:ind w:firstLine="2415" w:firstLineChars="1150"/>
        <w:rPr>
          <w:rFonts w:ascii="宋体" w:hAnsi="宋体"/>
          <w:sz w:val="24"/>
        </w:rPr>
      </w:pPr>
      <w:r>
        <w:rPr>
          <w:rFonts w:hint="eastAsia" w:ascii="宋体" w:hAnsi="宋体" w:cs="Arial Unicode MS"/>
          <w:position w:val="-6"/>
          <w:szCs w:val="21"/>
        </w:rPr>
        <w:t xml:space="preserve"> </w:t>
      </w:r>
      <w:r>
        <w:rPr>
          <w:rFonts w:ascii="Times New Roman" w:hAnsi="Times New Roman"/>
          <w:position w:val="-32"/>
          <w:sz w:val="24"/>
        </w:rPr>
        <w:object>
          <v:shape id="_x0000_i1042" o:spt="75" type="#_x0000_t75" style="height:37.2pt;width:189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rFonts w:hint="eastAsia" w:ascii="宋体" w:hAnsi="宋体" w:cs="Arial Unicode MS"/>
          <w:szCs w:val="21"/>
        </w:rPr>
        <w:t xml:space="preserve">                  </w:t>
      </w:r>
      <w:r>
        <w:rPr>
          <w:rFonts w:hint="eastAsia" w:ascii="宋体" w:hAnsi="宋体"/>
          <w:sz w:val="24"/>
        </w:rPr>
        <w:t>（D.1）</w:t>
      </w:r>
    </w:p>
    <w:p w14:paraId="7624073C">
      <w:pPr>
        <w:spacing w:line="48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式中：</w:t>
      </w:r>
    </w:p>
    <w:p w14:paraId="24029319">
      <w:pPr>
        <w:spacing w:line="480" w:lineRule="exact"/>
        <w:ind w:firstLine="420" w:firstLineChars="200"/>
        <w:rPr>
          <w:rFonts w:ascii="Times New Roman" w:hAnsi="Times New Roman"/>
          <w:sz w:val="24"/>
        </w:rPr>
      </w:pPr>
      <w:r>
        <w:rPr>
          <w:position w:val="-12"/>
        </w:rPr>
        <w:object>
          <v:shape id="_x0000_i1043" o:spt="75" type="#_x0000_t75" style="height:18.6pt;width:23.4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Fonts w:ascii="Times New Roman" w:hAnsi="Times New Roman" w:eastAsia="方正姚体"/>
          <w:sz w:val="24"/>
        </w:rPr>
        <w:t>——</w:t>
      </w:r>
      <w:r>
        <w:rPr>
          <w:rFonts w:ascii="Times New Roman" w:hAnsi="Times New Roman"/>
          <w:sz w:val="24"/>
        </w:rPr>
        <w:t>相对示值误差</w:t>
      </w:r>
      <w:r>
        <w:rPr>
          <w:rFonts w:hint="eastAsia" w:ascii="Times New Roman" w:hAnsi="Times New Roman"/>
          <w:sz w:val="24"/>
        </w:rPr>
        <w:t>；</w:t>
      </w:r>
    </w:p>
    <w:p w14:paraId="0B081ECA">
      <w:pPr>
        <w:spacing w:line="480" w:lineRule="exact"/>
        <w:ind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position w:val="-6"/>
          <w:sz w:val="24"/>
        </w:rPr>
        <w:object>
          <v:shape id="_x0000_i1044" o:spt="75" type="#_x0000_t75" style="height:16.2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ascii="Times New Roman" w:hAnsi="Times New Roman" w:eastAsia="方正姚体"/>
          <w:sz w:val="24"/>
        </w:rPr>
        <w:t>——</w:t>
      </w:r>
      <w:r>
        <w:rPr>
          <w:rFonts w:ascii="Times New Roman" w:hAnsi="Times New Roman"/>
          <w:sz w:val="24"/>
        </w:rPr>
        <w:t>3次测量值的算术平均值，mg/L；</w:t>
      </w:r>
    </w:p>
    <w:p w14:paraId="05287368">
      <w:pPr>
        <w:spacing w:line="480" w:lineRule="exact"/>
        <w:ind w:firstLine="240" w:firstLineChars="1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position w:val="-12"/>
          <w:sz w:val="24"/>
        </w:rPr>
        <w:object>
          <v:shape id="_x0000_i1045" o:spt="75" type="#_x0000_t75" style="height:18.6pt;width:1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rFonts w:ascii="Times New Roman" w:hAnsi="Times New Roman" w:eastAsia="方正姚体"/>
          <w:sz w:val="24"/>
        </w:rPr>
        <w:t>——</w:t>
      </w:r>
      <w:r>
        <w:rPr>
          <w:rFonts w:hint="eastAsia" w:ascii="Times New Roman" w:hAnsi="Times New Roman"/>
          <w:sz w:val="24"/>
        </w:rPr>
        <w:t>标准溶液</w:t>
      </w:r>
      <w:r>
        <w:rPr>
          <w:rFonts w:ascii="Times New Roman" w:hAnsi="Times New Roman"/>
          <w:sz w:val="24"/>
        </w:rPr>
        <w:t>浓度值，mg/L。</w:t>
      </w:r>
    </w:p>
    <w:p w14:paraId="60BD4478">
      <w:pPr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D.3 测量不确定度的评定</w:t>
      </w:r>
    </w:p>
    <w:p w14:paraId="21B6FA81">
      <w:pPr>
        <w:spacing w:line="360" w:lineRule="auto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D.3</w:t>
      </w:r>
      <w:r>
        <w:rPr>
          <w:rFonts w:asciiTheme="minorEastAsia" w:hAnsiTheme="minorEastAsia" w:eastAsiaTheme="minorEastAsia"/>
          <w:sz w:val="24"/>
        </w:rPr>
        <w:t>.1</w:t>
      </w:r>
      <w:r>
        <w:rPr>
          <w:rFonts w:hint="eastAsia" w:asciiTheme="minorEastAsia" w:hAnsiTheme="minorEastAsia" w:eastAsiaTheme="minorEastAsia"/>
          <w:sz w:val="24"/>
        </w:rPr>
        <w:t xml:space="preserve"> 测量不确定度的来源度的来源有如下方面：</w:t>
      </w:r>
    </w:p>
    <w:p w14:paraId="75103A26">
      <w:pPr>
        <w:tabs>
          <w:tab w:val="left" w:pos="960"/>
        </w:tabs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</w:t>
      </w:r>
      <w:r>
        <w:rPr>
          <w:rFonts w:asciiTheme="minorEastAsia" w:hAnsiTheme="minorEastAsia" w:eastAsiaTheme="minorEastAsia"/>
          <w:sz w:val="24"/>
        </w:rPr>
        <w:t>.</w:t>
      </w:r>
      <w:r>
        <w:rPr>
          <w:rFonts w:hint="eastAsia" w:asciiTheme="minorEastAsia" w:hAnsiTheme="minorEastAsia" w:eastAsiaTheme="minorEastAsia"/>
          <w:sz w:val="24"/>
        </w:rPr>
        <w:t>3</w:t>
      </w:r>
      <w:r>
        <w:rPr>
          <w:rFonts w:asciiTheme="minorEastAsia" w:hAnsiTheme="minorEastAsia" w:eastAsiaTheme="minorEastAsia"/>
          <w:sz w:val="24"/>
        </w:rPr>
        <w:t>.1</w:t>
      </w:r>
      <w:r>
        <w:rPr>
          <w:rFonts w:hint="eastAsia" w:asciiTheme="minorEastAsia" w:hAnsiTheme="minorEastAsia" w:eastAsiaTheme="minorEastAsia"/>
          <w:sz w:val="24"/>
        </w:rPr>
        <w:t>.1 测量重复性引入的不确定度。</w:t>
      </w:r>
    </w:p>
    <w:p w14:paraId="6A1082F1">
      <w:pPr>
        <w:tabs>
          <w:tab w:val="left" w:pos="960"/>
        </w:tabs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</w:t>
      </w:r>
      <w:r>
        <w:rPr>
          <w:rFonts w:asciiTheme="minorEastAsia" w:hAnsiTheme="minorEastAsia" w:eastAsiaTheme="minorEastAsia"/>
          <w:sz w:val="24"/>
        </w:rPr>
        <w:t>.</w:t>
      </w:r>
      <w:r>
        <w:rPr>
          <w:rFonts w:hint="eastAsia" w:asciiTheme="minorEastAsia" w:hAnsiTheme="minorEastAsia" w:eastAsiaTheme="minorEastAsia"/>
          <w:sz w:val="24"/>
        </w:rPr>
        <w:t>3</w:t>
      </w:r>
      <w:r>
        <w:rPr>
          <w:rFonts w:asciiTheme="minorEastAsia" w:hAnsiTheme="minorEastAsia" w:eastAsiaTheme="minorEastAsia"/>
          <w:sz w:val="24"/>
        </w:rPr>
        <w:t>.1</w:t>
      </w:r>
      <w:r>
        <w:rPr>
          <w:rFonts w:hint="eastAsia" w:asciiTheme="minorEastAsia" w:hAnsiTheme="minorEastAsia" w:eastAsiaTheme="minorEastAsia"/>
          <w:sz w:val="24"/>
        </w:rPr>
        <w:t>.2 分辨力引入的不确定度。</w:t>
      </w:r>
    </w:p>
    <w:p w14:paraId="66FF32B7">
      <w:pPr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</w:t>
      </w:r>
      <w:r>
        <w:rPr>
          <w:rFonts w:asciiTheme="minorEastAsia" w:hAnsiTheme="minorEastAsia" w:eastAsiaTheme="minorEastAsia"/>
          <w:sz w:val="24"/>
        </w:rPr>
        <w:t>.</w:t>
      </w:r>
      <w:r>
        <w:rPr>
          <w:rFonts w:hint="eastAsia" w:asciiTheme="minorEastAsia" w:hAnsiTheme="minorEastAsia" w:eastAsiaTheme="minorEastAsia"/>
          <w:sz w:val="24"/>
        </w:rPr>
        <w:t>3</w:t>
      </w:r>
      <w:r>
        <w:rPr>
          <w:rFonts w:asciiTheme="minorEastAsia" w:hAnsiTheme="minorEastAsia" w:eastAsiaTheme="minorEastAsia"/>
          <w:sz w:val="24"/>
        </w:rPr>
        <w:t>.1</w:t>
      </w:r>
      <w:r>
        <w:rPr>
          <w:rFonts w:hint="eastAsia" w:asciiTheme="minorEastAsia" w:hAnsiTheme="minorEastAsia" w:eastAsiaTheme="minorEastAsia"/>
          <w:sz w:val="24"/>
        </w:rPr>
        <w:t>.3 标准物质引入的不确定度。</w:t>
      </w:r>
    </w:p>
    <w:p w14:paraId="671EA6CD">
      <w:pPr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</w:t>
      </w:r>
      <w:r>
        <w:rPr>
          <w:rFonts w:asciiTheme="minorEastAsia" w:hAnsiTheme="minorEastAsia" w:eastAsiaTheme="minorEastAsia"/>
          <w:sz w:val="24"/>
        </w:rPr>
        <w:t>.</w:t>
      </w:r>
      <w:r>
        <w:rPr>
          <w:rFonts w:hint="eastAsia" w:asciiTheme="minorEastAsia" w:hAnsiTheme="minorEastAsia" w:eastAsiaTheme="minorEastAsia"/>
          <w:sz w:val="24"/>
        </w:rPr>
        <w:t>3</w:t>
      </w:r>
      <w:r>
        <w:rPr>
          <w:rFonts w:asciiTheme="minorEastAsia" w:hAnsiTheme="minorEastAsia" w:eastAsiaTheme="minorEastAsia"/>
          <w:sz w:val="24"/>
        </w:rPr>
        <w:t>.1</w:t>
      </w:r>
      <w:r>
        <w:rPr>
          <w:rFonts w:hint="eastAsia" w:asciiTheme="minorEastAsia" w:hAnsiTheme="minorEastAsia" w:eastAsiaTheme="minorEastAsia"/>
          <w:sz w:val="24"/>
        </w:rPr>
        <w:t>.4 单标线吸量管引入的不确定度。</w:t>
      </w:r>
    </w:p>
    <w:p w14:paraId="7AE4F40F">
      <w:pPr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</w:t>
      </w:r>
      <w:r>
        <w:rPr>
          <w:rFonts w:asciiTheme="minorEastAsia" w:hAnsiTheme="minorEastAsia" w:eastAsiaTheme="minorEastAsia"/>
          <w:sz w:val="24"/>
        </w:rPr>
        <w:t>.</w:t>
      </w:r>
      <w:r>
        <w:rPr>
          <w:rFonts w:hint="eastAsia" w:asciiTheme="minorEastAsia" w:hAnsiTheme="minorEastAsia" w:eastAsiaTheme="minorEastAsia"/>
          <w:sz w:val="24"/>
        </w:rPr>
        <w:t>3</w:t>
      </w:r>
      <w:r>
        <w:rPr>
          <w:rFonts w:asciiTheme="minorEastAsia" w:hAnsiTheme="minorEastAsia" w:eastAsiaTheme="minorEastAsia"/>
          <w:sz w:val="24"/>
        </w:rPr>
        <w:t>.1</w:t>
      </w:r>
      <w:r>
        <w:rPr>
          <w:rFonts w:hint="eastAsia" w:asciiTheme="minorEastAsia" w:hAnsiTheme="minorEastAsia" w:eastAsiaTheme="minorEastAsia"/>
          <w:sz w:val="24"/>
        </w:rPr>
        <w:t>.5 单标线容量瓶引入的不确定度。</w:t>
      </w:r>
    </w:p>
    <w:p w14:paraId="417F23DB">
      <w:pPr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D.3</w:t>
      </w:r>
      <w:r>
        <w:rPr>
          <w:rFonts w:asciiTheme="minorEastAsia" w:hAnsiTheme="minorEastAsia" w:eastAsiaTheme="minorEastAsia"/>
          <w:sz w:val="24"/>
        </w:rPr>
        <w:t>.2</w:t>
      </w:r>
      <w:r>
        <w:rPr>
          <w:rFonts w:hint="eastAsia" w:asciiTheme="minorEastAsia" w:hAnsiTheme="minorEastAsia" w:eastAsiaTheme="minorEastAsia"/>
          <w:sz w:val="24"/>
        </w:rPr>
        <w:t xml:space="preserve"> 不确定度的评定 </w:t>
      </w:r>
    </w:p>
    <w:p w14:paraId="086FAF72">
      <w:pPr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D.3</w:t>
      </w:r>
      <w:r>
        <w:rPr>
          <w:rFonts w:asciiTheme="minorEastAsia" w:hAnsiTheme="minorEastAsia" w:eastAsiaTheme="minorEastAsia"/>
          <w:sz w:val="24"/>
        </w:rPr>
        <w:t>.2.1</w:t>
      </w:r>
      <w:r>
        <w:rPr>
          <w:rFonts w:hint="eastAsia" w:asciiTheme="minorEastAsia" w:hAnsiTheme="minorEastAsia" w:eastAsiaTheme="minorEastAsia"/>
          <w:sz w:val="24"/>
        </w:rPr>
        <w:t xml:space="preserve"> 测量重复性引入的标准不确定度(</w:t>
      </w:r>
      <w:r>
        <w:rPr>
          <w:rFonts w:asciiTheme="minorEastAsia" w:hAnsiTheme="minorEastAsia" w:eastAsiaTheme="minorEastAsia"/>
          <w:position w:val="-12"/>
          <w:sz w:val="32"/>
          <w:szCs w:val="32"/>
          <w:vertAlign w:val="subscript"/>
        </w:rPr>
        <w:object>
          <v:shape id="_x0000_i1046" o:spt="75" type="#_x0000_t75" style="height:18.6pt;width:12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)：</w:t>
      </w:r>
    </w:p>
    <w:p w14:paraId="74C19A29">
      <w:pPr>
        <w:spacing w:line="440" w:lineRule="exact"/>
        <w:ind w:firstLine="480" w:firstLine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氟化物水质自动分析仪预热稳定后</w:t>
      </w:r>
      <w:r>
        <w:rPr>
          <w:rFonts w:asciiTheme="minorEastAsia" w:hAnsiTheme="minorEastAsia" w:eastAsiaTheme="minorEastAsia"/>
          <w:sz w:val="24"/>
        </w:rPr>
        <w:t>，</w:t>
      </w:r>
      <w:r>
        <w:rPr>
          <w:rFonts w:hint="eastAsia" w:asciiTheme="minorEastAsia" w:hAnsiTheme="minorEastAsia" w:eastAsiaTheme="minorEastAsia"/>
          <w:sz w:val="24"/>
        </w:rPr>
        <w:t>选择浓度为5.0</w:t>
      </w:r>
      <w:r>
        <w:t xml:space="preserve"> </w:t>
      </w:r>
      <w:r>
        <w:rPr>
          <w:rFonts w:asciiTheme="minorEastAsia" w:hAnsiTheme="minorEastAsia" w:eastAsiaTheme="minorEastAsia"/>
          <w:sz w:val="24"/>
        </w:rPr>
        <w:t>mg/L</w:t>
      </w:r>
      <w:r>
        <w:rPr>
          <w:rFonts w:hint="eastAsia" w:asciiTheme="minorEastAsia" w:hAnsiTheme="minorEastAsia" w:eastAsiaTheme="minorEastAsia"/>
          <w:sz w:val="24"/>
        </w:rPr>
        <w:t>的氟化物标准溶液进行测量，</w:t>
      </w:r>
      <w:r>
        <w:rPr>
          <w:rFonts w:asciiTheme="minorEastAsia" w:hAnsiTheme="minorEastAsia" w:eastAsiaTheme="minorEastAsia"/>
          <w:sz w:val="24"/>
        </w:rPr>
        <w:t>连续测量</w:t>
      </w:r>
      <w:r>
        <w:rPr>
          <w:rFonts w:hint="eastAsia" w:asciiTheme="minorEastAsia" w:hAnsiTheme="minorEastAsia" w:eastAsiaTheme="minorEastAsia"/>
          <w:sz w:val="24"/>
        </w:rPr>
        <w:t>10</w:t>
      </w:r>
      <w:r>
        <w:rPr>
          <w:rFonts w:asciiTheme="minorEastAsia" w:hAnsiTheme="minorEastAsia" w:eastAsiaTheme="minorEastAsia"/>
          <w:sz w:val="24"/>
        </w:rPr>
        <w:t>次，</w:t>
      </w:r>
      <w:r>
        <w:rPr>
          <w:rFonts w:hint="eastAsia" w:asciiTheme="minorEastAsia" w:hAnsiTheme="minorEastAsia" w:eastAsiaTheme="minorEastAsia"/>
          <w:color w:val="000000"/>
          <w:sz w:val="24"/>
        </w:rPr>
        <w:t>具体测量结果见表D.1，</w:t>
      </w:r>
      <w:r>
        <w:rPr>
          <w:rFonts w:hint="eastAsia" w:asciiTheme="minorEastAsia" w:hAnsiTheme="minorEastAsia" w:eastAsiaTheme="minorEastAsia"/>
          <w:sz w:val="24"/>
        </w:rPr>
        <w:t>测量重复性引入的标准不确定度按式（D.2）和式（D.3）计算。</w:t>
      </w:r>
    </w:p>
    <w:p w14:paraId="7A78FE4F">
      <w:pPr>
        <w:ind w:firstLine="600" w:firstLineChars="250"/>
        <w:jc w:val="left"/>
        <w:rPr>
          <w:rFonts w:ascii="黑体" w:hAnsi="黑体" w:eastAsia="黑体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 xml:space="preserve">                      </w:t>
      </w:r>
      <w:r>
        <w:rPr>
          <w:rFonts w:hint="eastAsia" w:ascii="黑体" w:hAnsi="黑体" w:eastAsia="黑体"/>
          <w:color w:val="000000"/>
          <w:szCs w:val="21"/>
        </w:rPr>
        <w:t>表D.1测量结果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680"/>
        <w:gridCol w:w="680"/>
        <w:gridCol w:w="681"/>
        <w:gridCol w:w="680"/>
        <w:gridCol w:w="681"/>
        <w:gridCol w:w="680"/>
        <w:gridCol w:w="680"/>
        <w:gridCol w:w="681"/>
        <w:gridCol w:w="680"/>
        <w:gridCol w:w="681"/>
        <w:gridCol w:w="992"/>
      </w:tblGrid>
      <w:tr w14:paraId="301DF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7493D639">
            <w:pPr>
              <w:spacing w:line="360" w:lineRule="auto"/>
              <w:ind w:left="120" w:hanging="120" w:hangingChars="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测量次数（次）</w:t>
            </w:r>
          </w:p>
        </w:tc>
        <w:tc>
          <w:tcPr>
            <w:tcW w:w="680" w:type="dxa"/>
          </w:tcPr>
          <w:p w14:paraId="768A042F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80" w:type="dxa"/>
          </w:tcPr>
          <w:p w14:paraId="64D6D861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81" w:type="dxa"/>
          </w:tcPr>
          <w:p w14:paraId="7A94C796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</w:t>
            </w:r>
          </w:p>
        </w:tc>
        <w:tc>
          <w:tcPr>
            <w:tcW w:w="680" w:type="dxa"/>
          </w:tcPr>
          <w:p w14:paraId="4A3E5AB6">
            <w:pPr>
              <w:tabs>
                <w:tab w:val="center" w:pos="267"/>
              </w:tabs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4</w:t>
            </w:r>
          </w:p>
        </w:tc>
        <w:tc>
          <w:tcPr>
            <w:tcW w:w="681" w:type="dxa"/>
          </w:tcPr>
          <w:p w14:paraId="6D4C07FC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5</w:t>
            </w:r>
          </w:p>
        </w:tc>
        <w:tc>
          <w:tcPr>
            <w:tcW w:w="680" w:type="dxa"/>
          </w:tcPr>
          <w:p w14:paraId="34AE1D16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6</w:t>
            </w:r>
          </w:p>
        </w:tc>
        <w:tc>
          <w:tcPr>
            <w:tcW w:w="680" w:type="dxa"/>
          </w:tcPr>
          <w:p w14:paraId="4A8BFC6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7</w:t>
            </w:r>
          </w:p>
        </w:tc>
        <w:tc>
          <w:tcPr>
            <w:tcW w:w="681" w:type="dxa"/>
          </w:tcPr>
          <w:p w14:paraId="4F1D3754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8</w:t>
            </w:r>
          </w:p>
        </w:tc>
        <w:tc>
          <w:tcPr>
            <w:tcW w:w="680" w:type="dxa"/>
          </w:tcPr>
          <w:p w14:paraId="2F175CC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9</w:t>
            </w:r>
          </w:p>
        </w:tc>
        <w:tc>
          <w:tcPr>
            <w:tcW w:w="681" w:type="dxa"/>
          </w:tcPr>
          <w:p w14:paraId="4732FA6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10</w:t>
            </w:r>
          </w:p>
        </w:tc>
        <w:tc>
          <w:tcPr>
            <w:tcW w:w="992" w:type="dxa"/>
          </w:tcPr>
          <w:p w14:paraId="50CE545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平均值</w:t>
            </w:r>
          </w:p>
        </w:tc>
      </w:tr>
      <w:tr w14:paraId="58142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 w14:paraId="2DF14B1E"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测量值（</w:t>
            </w:r>
            <w:r>
              <w:rPr>
                <w:rFonts w:asciiTheme="minorEastAsia" w:hAnsiTheme="minorEastAsia" w:eastAsiaTheme="minorEastAsia"/>
                <w:sz w:val="24"/>
              </w:rPr>
              <w:t>mg/L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</w:p>
        </w:tc>
        <w:tc>
          <w:tcPr>
            <w:tcW w:w="680" w:type="dxa"/>
          </w:tcPr>
          <w:p w14:paraId="56015AEC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4.9</w:t>
            </w:r>
          </w:p>
        </w:tc>
        <w:tc>
          <w:tcPr>
            <w:tcW w:w="680" w:type="dxa"/>
          </w:tcPr>
          <w:p w14:paraId="1BF9E60E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4.9</w:t>
            </w:r>
          </w:p>
        </w:tc>
        <w:tc>
          <w:tcPr>
            <w:tcW w:w="681" w:type="dxa"/>
          </w:tcPr>
          <w:p w14:paraId="10D390CC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4.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8</w:t>
            </w:r>
          </w:p>
        </w:tc>
        <w:tc>
          <w:tcPr>
            <w:tcW w:w="680" w:type="dxa"/>
          </w:tcPr>
          <w:p w14:paraId="58DBB1C9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4.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8</w:t>
            </w:r>
          </w:p>
        </w:tc>
        <w:tc>
          <w:tcPr>
            <w:tcW w:w="681" w:type="dxa"/>
          </w:tcPr>
          <w:p w14:paraId="52391C4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4.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9</w:t>
            </w:r>
          </w:p>
        </w:tc>
        <w:tc>
          <w:tcPr>
            <w:tcW w:w="680" w:type="dxa"/>
          </w:tcPr>
          <w:p w14:paraId="325D130E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4.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9</w:t>
            </w:r>
          </w:p>
        </w:tc>
        <w:tc>
          <w:tcPr>
            <w:tcW w:w="680" w:type="dxa"/>
          </w:tcPr>
          <w:p w14:paraId="71B0FEC3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4.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9</w:t>
            </w:r>
          </w:p>
        </w:tc>
        <w:tc>
          <w:tcPr>
            <w:tcW w:w="681" w:type="dxa"/>
          </w:tcPr>
          <w:p w14:paraId="2C95F582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4.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9</w:t>
            </w:r>
          </w:p>
        </w:tc>
        <w:tc>
          <w:tcPr>
            <w:tcW w:w="680" w:type="dxa"/>
          </w:tcPr>
          <w:p w14:paraId="01C7818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4.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8</w:t>
            </w:r>
          </w:p>
        </w:tc>
        <w:tc>
          <w:tcPr>
            <w:tcW w:w="681" w:type="dxa"/>
          </w:tcPr>
          <w:p w14:paraId="7C18951D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4.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8</w:t>
            </w:r>
          </w:p>
        </w:tc>
        <w:tc>
          <w:tcPr>
            <w:tcW w:w="992" w:type="dxa"/>
          </w:tcPr>
          <w:p w14:paraId="107F7685"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4.9</w:t>
            </w:r>
          </w:p>
        </w:tc>
      </w:tr>
    </w:tbl>
    <w:p w14:paraId="624D1B98">
      <w:pPr>
        <w:spacing w:line="360" w:lineRule="auto"/>
        <w:ind w:firstLine="2160" w:firstLineChars="900"/>
        <w:rPr>
          <w:rFonts w:asciiTheme="minorEastAsia" w:hAnsiTheme="minorEastAsia" w:eastAsiaTheme="minorEastAsia"/>
          <w:position w:val="-26"/>
          <w:sz w:val="24"/>
        </w:rPr>
      </w:pPr>
      <w:r>
        <w:rPr>
          <w:rFonts w:hint="eastAsia" w:ascii="Times New Roman" w:hAnsi="Times New Roman"/>
          <w:color w:val="FF6600"/>
          <w:sz w:val="24"/>
        </w:rPr>
        <w:t xml:space="preserve"> </w:t>
      </w:r>
      <w:r>
        <w:rPr>
          <w:rFonts w:ascii="Times New Roman" w:hAnsi="Times New Roman"/>
          <w:color w:val="FF6600"/>
          <w:position w:val="-26"/>
          <w:sz w:val="24"/>
        </w:rPr>
        <w:object>
          <v:shape id="_x0000_i1047" o:spt="75" type="#_x0000_t75" style="height:45.6pt;width:179.4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FF6600"/>
          <w:sz w:val="24"/>
        </w:rPr>
        <w:t xml:space="preserve">                 </w:t>
      </w:r>
      <w:r>
        <w:rPr>
          <w:rFonts w:hint="eastAsia" w:asciiTheme="minorEastAsia" w:hAnsiTheme="minorEastAsia" w:eastAsiaTheme="minorEastAsia"/>
          <w:sz w:val="24"/>
        </w:rPr>
        <w:t>（D.2）</w:t>
      </w:r>
    </w:p>
    <w:p w14:paraId="768B12D5">
      <w:pPr>
        <w:spacing w:line="360" w:lineRule="auto"/>
        <w:ind w:firstLine="360" w:firstLineChars="150"/>
        <w:jc w:val="left"/>
        <w:rPr>
          <w:rFonts w:asciiTheme="minorEastAsia" w:hAnsiTheme="minorEastAsia" w:eastAsiaTheme="minorEastAsia"/>
          <w:position w:val="-26"/>
          <w:sz w:val="24"/>
        </w:rPr>
      </w:pPr>
      <w:r>
        <w:rPr>
          <w:rFonts w:hint="eastAsia" w:asciiTheme="minorEastAsia" w:hAnsiTheme="minorEastAsia" w:eastAsiaTheme="minorEastAsia"/>
          <w:position w:val="-26"/>
          <w:sz w:val="24"/>
        </w:rPr>
        <w:t>由于取3次测量平均值表示测量结果，则：</w:t>
      </w:r>
    </w:p>
    <w:p w14:paraId="0F49B754">
      <w:pPr>
        <w:spacing w:line="360" w:lineRule="auto"/>
        <w:ind w:firstLine="480" w:firstLineChars="200"/>
        <w:rPr>
          <w:rFonts w:hint="eastAsia" w:hAnsi="Cambria Math" w:cs="Cambria Math"/>
          <w:sz w:val="24"/>
        </w:rPr>
      </w:pPr>
      <m:oMathPara>
        <m:oMath>
          <m:sSub>
            <m:sSubPr>
              <m:ctrlPr>
                <w:rPr>
                  <w:rFonts w:ascii="Cambria Math" w:hAnsi="Cambria Math" w:eastAsiaTheme="minorEastAsia"/>
                  <w:i/>
                  <w:iCs/>
                  <w:sz w:val="24"/>
                </w:rPr>
              </m:ctrlPr>
            </m:sSubPr>
            <m:e>
              <m:r>
                <m:rPr/>
                <w:rPr>
                  <w:rFonts w:ascii="Cambria Math" w:hAnsi="Cambria Math" w:eastAsiaTheme="minorEastAsia"/>
                  <w:sz w:val="24"/>
                </w:rPr>
                <m:t xml:space="preserve">                                                      u</m:t>
              </m:r>
              <m:ctrlPr>
                <w:rPr>
                  <w:rFonts w:ascii="Cambria Math" w:hAnsi="Cambria Math" w:eastAsiaTheme="minorEastAsia"/>
                  <w:i/>
                  <w:iCs/>
                  <w:sz w:val="24"/>
                </w:rPr>
              </m:ctrlPr>
            </m:e>
            <m:sub>
              <m:r>
                <m:rPr/>
                <w:rPr>
                  <w:rFonts w:ascii="Cambria Math" w:hAnsi="Cambria Math" w:eastAsiaTheme="minorEastAsia"/>
                  <w:sz w:val="24"/>
                </w:rPr>
                <m:t>1</m:t>
              </m:r>
              <m:ctrlPr>
                <w:rPr>
                  <w:rFonts w:ascii="Cambria Math" w:hAnsi="Cambria Math" w:eastAsiaTheme="minorEastAsia"/>
                  <w:iCs/>
                  <w:sz w:val="24"/>
                </w:rPr>
              </m:ctrlPr>
            </m:sub>
          </m:sSub>
          <m:r>
            <m:rPr>
              <m:sty m:val="p"/>
            </m:rPr>
            <w:rPr>
              <w:rFonts w:ascii="Cambria Math" w:hAnsi="Cambria Math" w:eastAsiaTheme="minorEastAsia"/>
              <w:sz w:val="24"/>
            </w:rPr>
            <m:t>=</m:t>
          </m:r>
          <m:f>
            <m:fP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Theme="minorEastAsia"/>
                      <w:sz w:val="24"/>
                    </w:rPr>
                    <m:t>s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e>
                <m:sub>
                  <m:r>
                    <m:rPr/>
                    <w:rPr>
                      <w:rFonts w:ascii="Cambria Math" w:hAnsi="Cambria Math" w:eastAsiaTheme="minorEastAsia"/>
                      <w:sz w:val="24"/>
                    </w:rPr>
                    <m:t>r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sub>
              </m:sSub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radPr>
                <m:deg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deg>
                <m:e>
                  <m:r>
                    <m:rPr/>
                    <w:rPr>
                      <w:rFonts w:ascii="Cambria Math" w:hAnsi="Cambria Math" w:eastAsiaTheme="minorEastAsia"/>
                      <w:sz w:val="24"/>
                    </w:rPr>
                    <m:t>3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e>
              </m:rad>
              <m:ctrlPr>
                <w:rPr>
                  <w:rFonts w:ascii="Cambria Math" w:hAnsi="Cambria Math" w:eastAsiaTheme="minorEastAsia"/>
                  <w:sz w:val="24"/>
                </w:rPr>
              </m:ctrlPr>
            </m:den>
          </m:f>
          <m:r>
            <m:rPr>
              <m:sty m:val="p"/>
            </m:rPr>
            <w:rPr>
              <w:rFonts w:ascii="Cambria Math" w:hAnsi="Cambria Math" w:eastAsiaTheme="minorEastAsia"/>
              <w:sz w:val="24"/>
            </w:rPr>
            <m:t>=</m:t>
          </m:r>
          <m:f>
            <m:fP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fPr>
            <m:num>
              <m:r>
                <m:rPr/>
                <w:rPr>
                  <w:rFonts w:ascii="Cambria Math" w:hAnsi="Cambria Math" w:eastAsiaTheme="minorEastAsia"/>
                  <w:sz w:val="24"/>
                </w:rPr>
                <m:t>1.1%</m:t>
              </m:r>
              <m:ctrlPr>
                <w:rPr>
                  <w:rFonts w:ascii="Cambria Math" w:hAnsi="Cambria Math" w:eastAsiaTheme="minorEastAsia"/>
                  <w:i/>
                  <w:sz w:val="24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radPr>
                <m:deg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deg>
                <m:e>
                  <m:r>
                    <m:rPr/>
                    <w:rPr>
                      <w:rFonts w:ascii="Cambria Math" w:hAnsi="Cambria Math" w:eastAsiaTheme="minorEastAsia"/>
                      <w:sz w:val="24"/>
                    </w:rPr>
                    <m:t>3</m:t>
                  </m:r>
                  <m:ctrlPr>
                    <w:rPr>
                      <w:rFonts w:ascii="Cambria Math" w:hAnsi="Cambria Math" w:eastAsiaTheme="minorEastAsia"/>
                      <w:i/>
                      <w:sz w:val="24"/>
                    </w:rPr>
                  </m:ctrlPr>
                </m:e>
              </m:rad>
              <m:ctrlPr>
                <w:rPr>
                  <w:rFonts w:ascii="Cambria Math" w:hAnsi="Cambria Math" w:eastAsiaTheme="minorEastAsia"/>
                  <w:sz w:val="24"/>
                </w:rPr>
              </m:ctrlPr>
            </m:den>
          </m:f>
          <m:r>
            <m:rPr>
              <m:sty m:val="p"/>
            </m:rPr>
            <w:rPr>
              <w:rFonts w:ascii="Cambria Math" w:hAnsi="Cambria Math" w:eastAsiaTheme="minorEastAsia"/>
              <w:sz w:val="24"/>
            </w:rPr>
            <m:t xml:space="preserve">=0.7%                                               （D.3） </m:t>
          </m:r>
        </m:oMath>
      </m:oMathPara>
    </w:p>
    <w:p w14:paraId="780149F6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D.3</w:t>
      </w:r>
      <w:r>
        <w:rPr>
          <w:rFonts w:asciiTheme="minorEastAsia" w:hAnsiTheme="minorEastAsia" w:eastAsiaTheme="minorEastAsia"/>
          <w:sz w:val="24"/>
        </w:rPr>
        <w:t>.2.</w:t>
      </w:r>
      <w:r>
        <w:rPr>
          <w:rFonts w:hint="eastAsia" w:asciiTheme="minorEastAsia" w:hAnsiTheme="minorEastAsia" w:eastAsiaTheme="minorEastAsia"/>
          <w:sz w:val="24"/>
        </w:rPr>
        <w:t>2 分辨力引入的不确定度(</w:t>
      </w:r>
      <w:r>
        <w:rPr>
          <w:rFonts w:asciiTheme="minorEastAsia" w:hAnsiTheme="minorEastAsia" w:eastAsiaTheme="minorEastAsia"/>
          <w:position w:val="-12"/>
          <w:sz w:val="32"/>
          <w:szCs w:val="32"/>
          <w:vertAlign w:val="subscript"/>
        </w:rPr>
        <w:object>
          <v:shape id="_x0000_i1048" o:spt="75" type="#_x0000_t75" style="height:18.6pt;width:12.6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)</w:t>
      </w:r>
    </w:p>
    <w:p w14:paraId="0A20CCE4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分析仪的分辨力为</w:t>
      </w:r>
      <w:r>
        <w:rPr>
          <w:rFonts w:hint="eastAsia" w:asciiTheme="minorEastAsia" w:hAnsiTheme="minorEastAsia" w:eastAsiaTheme="minorEastAsia"/>
          <w:bCs/>
          <w:iCs/>
          <w:sz w:val="24"/>
        </w:rPr>
        <w:t>0.1</w:t>
      </w:r>
      <w:r>
        <w:t xml:space="preserve"> </w:t>
      </w:r>
      <w:r>
        <w:rPr>
          <w:rFonts w:asciiTheme="minorEastAsia" w:hAnsiTheme="minorEastAsia" w:eastAsiaTheme="minorEastAsia"/>
          <w:bCs/>
          <w:iCs/>
          <w:sz w:val="24"/>
        </w:rPr>
        <w:t>mg/L</w:t>
      </w:r>
      <w:r>
        <w:rPr>
          <w:rFonts w:hint="eastAsia" w:asciiTheme="minorEastAsia" w:hAnsiTheme="minorEastAsia" w:eastAsiaTheme="minorEastAsia"/>
          <w:sz w:val="24"/>
        </w:rPr>
        <w:t>，按均匀分布，分辨力引入的不确定度按式</w:t>
      </w:r>
      <w:r>
        <w:rPr>
          <w:rFonts w:asciiTheme="minorEastAsia" w:hAnsiTheme="minorEastAsia" w:eastAsiaTheme="minorEastAsia"/>
          <w:sz w:val="24"/>
        </w:rPr>
        <w:t>（</w:t>
      </w:r>
      <w:r>
        <w:rPr>
          <w:rFonts w:hint="eastAsia" w:asciiTheme="minorEastAsia" w:hAnsiTheme="minorEastAsia" w:eastAsiaTheme="minorEastAsia"/>
          <w:sz w:val="24"/>
        </w:rPr>
        <w:t>D</w:t>
      </w:r>
      <w:r>
        <w:rPr>
          <w:rFonts w:asciiTheme="minorEastAsia" w:hAnsiTheme="minorEastAsia" w:eastAsiaTheme="minorEastAsia"/>
          <w:sz w:val="24"/>
        </w:rPr>
        <w:t>.4）</w:t>
      </w:r>
      <w:r>
        <w:rPr>
          <w:rFonts w:hint="eastAsia" w:asciiTheme="minorEastAsia" w:hAnsiTheme="minorEastAsia" w:eastAsiaTheme="minorEastAsia"/>
          <w:sz w:val="24"/>
        </w:rPr>
        <w:t>计算。</w:t>
      </w:r>
      <w:r>
        <w:rPr>
          <w:rFonts w:asciiTheme="minorEastAsia" w:hAnsiTheme="minorEastAsia" w:eastAsiaTheme="minorEastAsia"/>
          <w:sz w:val="24"/>
        </w:rPr>
        <w:t xml:space="preserve"> </w:t>
      </w:r>
    </w:p>
    <w:p w14:paraId="79D3F9ED">
      <w:pPr>
        <w:spacing w:line="360" w:lineRule="auto"/>
        <w:ind w:firstLine="2880" w:firstLineChars="900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position w:val="-32"/>
          <w:sz w:val="32"/>
          <w:szCs w:val="32"/>
          <w:vertAlign w:val="subscript"/>
        </w:rPr>
        <w:object>
          <v:shape id="_x0000_i1049" o:spt="75" type="#_x0000_t75" style="height:35.4pt;width:147.6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position w:val="-28"/>
          <w:sz w:val="24"/>
        </w:rPr>
        <w:t xml:space="preserve">               </w:t>
      </w:r>
      <w:r>
        <w:rPr>
          <w:rFonts w:hint="eastAsia" w:asciiTheme="minorEastAsia" w:hAnsiTheme="minorEastAsia" w:eastAsiaTheme="minorEastAsia"/>
          <w:sz w:val="24"/>
        </w:rPr>
        <w:t xml:space="preserve">  </w:t>
      </w:r>
      <w:r>
        <w:rPr>
          <w:rFonts w:asciiTheme="minorEastAsia" w:hAnsiTheme="minorEastAsia" w:eastAsiaTheme="minorEastAsia"/>
          <w:sz w:val="24"/>
        </w:rPr>
        <w:t>（</w:t>
      </w:r>
      <w:r>
        <w:rPr>
          <w:rFonts w:hint="eastAsia" w:asciiTheme="minorEastAsia" w:hAnsiTheme="minorEastAsia" w:eastAsiaTheme="minorEastAsia"/>
          <w:sz w:val="24"/>
        </w:rPr>
        <w:t>D.</w:t>
      </w:r>
      <w:r>
        <w:rPr>
          <w:rFonts w:asciiTheme="minorEastAsia" w:hAnsiTheme="minorEastAsia" w:eastAsiaTheme="minorEastAsia"/>
          <w:sz w:val="24"/>
        </w:rPr>
        <w:t>4）</w:t>
      </w:r>
      <w:r>
        <w:rPr>
          <w:rFonts w:hint="eastAsia" w:asciiTheme="minorEastAsia" w:hAnsiTheme="minorEastAsia" w:eastAsiaTheme="minorEastAsia"/>
          <w:sz w:val="24"/>
        </w:rPr>
        <w:t xml:space="preserve"> </w:t>
      </w:r>
    </w:p>
    <w:p w14:paraId="0E730F64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因为分辨力引入的不确定度小于测量重复性引入的不确定度，所以不考虑分辨力引入的不确定度。</w:t>
      </w:r>
    </w:p>
    <w:p w14:paraId="2A3BDAA2">
      <w:pPr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</w:t>
      </w:r>
      <w:r>
        <w:rPr>
          <w:rFonts w:asciiTheme="minorEastAsia" w:hAnsiTheme="minorEastAsia" w:eastAsiaTheme="minorEastAsia"/>
          <w:sz w:val="24"/>
        </w:rPr>
        <w:t>.</w:t>
      </w:r>
      <w:r>
        <w:rPr>
          <w:rFonts w:hint="eastAsia" w:asciiTheme="minorEastAsia" w:hAnsiTheme="minorEastAsia" w:eastAsiaTheme="minorEastAsia"/>
          <w:sz w:val="24"/>
        </w:rPr>
        <w:t>3</w:t>
      </w:r>
      <w:r>
        <w:rPr>
          <w:rFonts w:asciiTheme="minorEastAsia" w:hAnsiTheme="minorEastAsia" w:eastAsiaTheme="minorEastAsia"/>
          <w:sz w:val="24"/>
        </w:rPr>
        <w:t>.2.</w:t>
      </w:r>
      <w:r>
        <w:rPr>
          <w:rFonts w:hint="eastAsia" w:asciiTheme="minorEastAsia" w:hAnsiTheme="minorEastAsia" w:eastAsiaTheme="minorEastAsia"/>
          <w:sz w:val="24"/>
        </w:rPr>
        <w:t>3 氟化物标准物质引入的不确定度(</w:t>
      </w:r>
      <w:r>
        <w:rPr>
          <w:rFonts w:asciiTheme="minorEastAsia" w:hAnsiTheme="minorEastAsia" w:eastAsiaTheme="minorEastAsia"/>
          <w:position w:val="-12"/>
          <w:sz w:val="32"/>
          <w:szCs w:val="32"/>
          <w:vertAlign w:val="subscript"/>
        </w:rPr>
        <w:object>
          <v:shape id="_x0000_i1050" o:spt="75" type="#_x0000_t75" style="height:18.6pt;width:12.6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)</w:t>
      </w:r>
    </w:p>
    <w:p w14:paraId="5BE0DA31">
      <w:pPr>
        <w:spacing w:line="360" w:lineRule="auto"/>
        <w:ind w:firstLine="360" w:firstLineChars="15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氟化物标准物质：</w:t>
      </w:r>
      <w:r>
        <w:rPr>
          <w:rFonts w:hint="eastAsia" w:asciiTheme="minorEastAsia" w:hAnsiTheme="minorEastAsia" w:eastAsiaTheme="minorEastAsia"/>
          <w:i/>
          <w:sz w:val="24"/>
        </w:rPr>
        <w:t>U</w:t>
      </w:r>
      <w:r>
        <w:rPr>
          <w:rFonts w:hint="eastAsia" w:asciiTheme="minorEastAsia" w:hAnsiTheme="minorEastAsia" w:eastAsiaTheme="minorEastAsia"/>
          <w:sz w:val="24"/>
          <w:vertAlign w:val="subscript"/>
        </w:rPr>
        <w:t>rel</w:t>
      </w:r>
      <w:r>
        <w:rPr>
          <w:rFonts w:hint="eastAsia" w:asciiTheme="minorEastAsia" w:hAnsiTheme="minorEastAsia" w:eastAsiaTheme="minorEastAsia"/>
          <w:sz w:val="24"/>
        </w:rPr>
        <w:t>=2%（</w:t>
      </w:r>
      <w:r>
        <w:rPr>
          <w:rFonts w:hint="eastAsia" w:asciiTheme="minorEastAsia" w:hAnsiTheme="minorEastAsia" w:eastAsiaTheme="minorEastAsia"/>
          <w:i/>
          <w:sz w:val="24"/>
        </w:rPr>
        <w:t>k</w:t>
      </w:r>
      <w:r>
        <w:rPr>
          <w:rFonts w:hint="eastAsia" w:asciiTheme="minorEastAsia" w:hAnsiTheme="minorEastAsia" w:eastAsiaTheme="minorEastAsia"/>
          <w:sz w:val="24"/>
        </w:rPr>
        <w:t>=2），氟化物标准物质引入的不确定度按式（D.5）计算。</w:t>
      </w:r>
    </w:p>
    <w:p w14:paraId="3476051D">
      <w:pPr>
        <w:spacing w:line="360" w:lineRule="auto"/>
        <w:ind w:firstLine="3360" w:firstLineChars="1050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position w:val="-24"/>
          <w:sz w:val="32"/>
          <w:szCs w:val="32"/>
          <w:vertAlign w:val="subscript"/>
        </w:rPr>
        <w:object>
          <v:shape id="_x0000_i1051" o:spt="75" type="#_x0000_t75" style="height:31.2pt;width:71.4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vertAlign w:val="subscript"/>
        </w:rPr>
        <w:t xml:space="preserve">                                                     </w:t>
      </w:r>
      <w:r>
        <w:rPr>
          <w:rFonts w:hint="eastAsia" w:asciiTheme="minorEastAsia" w:hAnsiTheme="minorEastAsia" w:eastAsiaTheme="minorEastAsia"/>
          <w:sz w:val="24"/>
        </w:rPr>
        <w:t>（D.5）</w:t>
      </w:r>
    </w:p>
    <w:p w14:paraId="2A8AEE7A">
      <w:pPr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</w:t>
      </w:r>
      <w:r>
        <w:rPr>
          <w:rFonts w:asciiTheme="minorEastAsia" w:hAnsiTheme="minorEastAsia" w:eastAsiaTheme="minorEastAsia"/>
          <w:sz w:val="24"/>
        </w:rPr>
        <w:t>.</w:t>
      </w:r>
      <w:r>
        <w:rPr>
          <w:rFonts w:hint="eastAsia" w:asciiTheme="minorEastAsia" w:hAnsiTheme="minorEastAsia" w:eastAsiaTheme="minorEastAsia"/>
          <w:sz w:val="24"/>
        </w:rPr>
        <w:t>3</w:t>
      </w:r>
      <w:r>
        <w:rPr>
          <w:rFonts w:asciiTheme="minorEastAsia" w:hAnsiTheme="minorEastAsia" w:eastAsiaTheme="minorEastAsia"/>
          <w:sz w:val="24"/>
        </w:rPr>
        <w:t>.2.</w:t>
      </w:r>
      <w:r>
        <w:rPr>
          <w:rFonts w:hint="eastAsia" w:asciiTheme="minorEastAsia" w:hAnsiTheme="minorEastAsia" w:eastAsiaTheme="minorEastAsia"/>
          <w:sz w:val="24"/>
        </w:rPr>
        <w:t>4 单标线吸量管引入的不确定度(</w:t>
      </w:r>
      <w:r>
        <w:rPr>
          <w:rFonts w:asciiTheme="minorEastAsia" w:hAnsiTheme="minorEastAsia" w:eastAsiaTheme="minorEastAsia"/>
          <w:position w:val="-12"/>
          <w:sz w:val="32"/>
          <w:szCs w:val="32"/>
          <w:vertAlign w:val="subscript"/>
        </w:rPr>
        <w:object>
          <v:shape id="_x0000_i1052" o:spt="75" type="#_x0000_t75" style="height:18.6pt;width:12.6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)</w:t>
      </w:r>
    </w:p>
    <w:p w14:paraId="7E20A150">
      <w:pPr>
        <w:spacing w:line="360" w:lineRule="auto"/>
        <w:ind w:firstLine="360" w:firstLineChars="15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1mLA级吸量管最大允许误差：±0.007mL，按均匀分布，单标线吸量管引入的不确定度按式（D.6）计算。</w:t>
      </w:r>
    </w:p>
    <w:p w14:paraId="52AB5192">
      <w:pPr>
        <w:spacing w:line="360" w:lineRule="auto"/>
        <w:ind w:firstLine="2400" w:firstLineChars="1000"/>
        <w:rPr>
          <w:rFonts w:ascii="Times New Roman" w:hAnsi="Times New Roman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vertAlign w:val="subscript"/>
        </w:rPr>
        <w:t xml:space="preserve"> </w:t>
      </w:r>
      <w:r>
        <w:rPr>
          <w:rFonts w:asciiTheme="minorEastAsia" w:hAnsiTheme="minorEastAsia" w:eastAsiaTheme="minorEastAsia"/>
          <w:position w:val="-28"/>
          <w:sz w:val="32"/>
          <w:szCs w:val="32"/>
          <w:vertAlign w:val="subscript"/>
        </w:rPr>
        <w:object>
          <v:shape id="_x0000_i1053" o:spt="75" type="#_x0000_t75" style="height:33pt;width:129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9">
            <o:LockedField>false</o:LockedField>
          </o:OLEObject>
        </w:object>
      </w:r>
      <w:r>
        <w:rPr>
          <w:rFonts w:hint="eastAsia" w:ascii="Times New Roman" w:hAnsi="Times New Roman" w:eastAsiaTheme="minorEastAsia"/>
          <w:sz w:val="24"/>
        </w:rPr>
        <w:t xml:space="preserve">                        </w:t>
      </w:r>
      <w:r>
        <w:rPr>
          <w:rFonts w:hint="eastAsia" w:asciiTheme="minorEastAsia" w:hAnsiTheme="minorEastAsia" w:eastAsiaTheme="minorEastAsia"/>
          <w:sz w:val="24"/>
        </w:rPr>
        <w:t>（D.6）</w:t>
      </w:r>
    </w:p>
    <w:p w14:paraId="39F965A4">
      <w:pPr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</w:t>
      </w:r>
      <w:r>
        <w:rPr>
          <w:rFonts w:asciiTheme="minorEastAsia" w:hAnsiTheme="minorEastAsia" w:eastAsiaTheme="minorEastAsia"/>
          <w:sz w:val="24"/>
        </w:rPr>
        <w:t>.</w:t>
      </w:r>
      <w:r>
        <w:rPr>
          <w:rFonts w:hint="eastAsia" w:asciiTheme="minorEastAsia" w:hAnsiTheme="minorEastAsia" w:eastAsiaTheme="minorEastAsia"/>
          <w:sz w:val="24"/>
        </w:rPr>
        <w:t>3</w:t>
      </w:r>
      <w:r>
        <w:rPr>
          <w:rFonts w:asciiTheme="minorEastAsia" w:hAnsiTheme="minorEastAsia" w:eastAsiaTheme="minorEastAsia"/>
          <w:sz w:val="24"/>
        </w:rPr>
        <w:t>.2.</w:t>
      </w:r>
      <w:r>
        <w:rPr>
          <w:rFonts w:hint="eastAsia" w:asciiTheme="minorEastAsia" w:hAnsiTheme="minorEastAsia" w:eastAsiaTheme="minorEastAsia"/>
          <w:sz w:val="24"/>
        </w:rPr>
        <w:t>4 单标线容量瓶引入的不确定度(</w:t>
      </w:r>
      <w:r>
        <w:rPr>
          <w:rFonts w:asciiTheme="minorEastAsia" w:hAnsiTheme="minorEastAsia" w:eastAsiaTheme="minorEastAsia"/>
          <w:position w:val="-12"/>
          <w:sz w:val="32"/>
          <w:szCs w:val="32"/>
          <w:vertAlign w:val="subscript"/>
        </w:rPr>
        <w:object>
          <v:shape id="_x0000_i1054" o:spt="75" type="#_x0000_t75" style="height:18.6pt;width:12.6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>)</w:t>
      </w:r>
    </w:p>
    <w:p w14:paraId="622B670E">
      <w:pPr>
        <w:spacing w:line="360" w:lineRule="auto"/>
        <w:ind w:firstLine="360" w:firstLineChars="15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10mLA级容量瓶最大允许误差，±0.020mL，按均匀分布，单标线容量瓶引入的不确定度按式（D.7）计算。</w:t>
      </w:r>
    </w:p>
    <w:p w14:paraId="4683EEA9">
      <w:pPr>
        <w:spacing w:line="360" w:lineRule="auto"/>
        <w:ind w:firstLine="2720" w:firstLineChars="850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position w:val="-28"/>
          <w:sz w:val="32"/>
          <w:szCs w:val="32"/>
          <w:vertAlign w:val="subscript"/>
        </w:rPr>
        <w:object>
          <v:shape id="_x0000_i1055" o:spt="75" type="#_x0000_t75" style="height:33pt;width:136.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3">
            <o:LockedField>false</o:LockedField>
          </o:OLEObject>
        </w:object>
      </w:r>
      <w:r>
        <w:rPr>
          <w:rFonts w:hint="eastAsia" w:ascii="Times New Roman" w:hAnsi="Times New Roman" w:eastAsiaTheme="minorEastAsia"/>
          <w:sz w:val="24"/>
        </w:rPr>
        <w:t xml:space="preserve">                      </w:t>
      </w:r>
      <w:r>
        <w:rPr>
          <w:rFonts w:hint="eastAsia" w:asciiTheme="minorEastAsia" w:hAnsiTheme="minorEastAsia" w:eastAsiaTheme="minorEastAsia"/>
          <w:sz w:val="24"/>
        </w:rPr>
        <w:t>（D.7）</w:t>
      </w:r>
    </w:p>
    <w:p w14:paraId="7C0F8505">
      <w:pPr>
        <w:spacing w:line="360" w:lineRule="auto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</w:t>
      </w:r>
      <w:r>
        <w:rPr>
          <w:rFonts w:asciiTheme="minorEastAsia" w:hAnsiTheme="minorEastAsia" w:eastAsiaTheme="minorEastAsia"/>
          <w:sz w:val="24"/>
        </w:rPr>
        <w:t>.</w:t>
      </w:r>
      <w:r>
        <w:rPr>
          <w:rFonts w:hint="eastAsia" w:asciiTheme="minorEastAsia" w:hAnsiTheme="minorEastAsia" w:eastAsiaTheme="minorEastAsia"/>
          <w:sz w:val="24"/>
        </w:rPr>
        <w:t>3</w:t>
      </w:r>
      <w:r>
        <w:rPr>
          <w:rFonts w:asciiTheme="minorEastAsia" w:hAnsiTheme="minorEastAsia" w:eastAsiaTheme="minorEastAsia"/>
          <w:sz w:val="24"/>
        </w:rPr>
        <w:t>.2.</w:t>
      </w:r>
      <w:r>
        <w:rPr>
          <w:rFonts w:hint="eastAsia" w:asciiTheme="minorEastAsia" w:hAnsiTheme="minorEastAsia" w:eastAsiaTheme="minorEastAsia"/>
          <w:sz w:val="24"/>
        </w:rPr>
        <w:t>4 合成标准不确定度</w:t>
      </w:r>
      <w:r>
        <w:rPr>
          <w:rFonts w:asciiTheme="minorEastAsia" w:hAnsiTheme="minorEastAsia" w:eastAsiaTheme="minorEastAsia"/>
          <w:sz w:val="24"/>
        </w:rPr>
        <w:t>(</w:t>
      </w:r>
      <w:r>
        <w:rPr>
          <w:rFonts w:asciiTheme="minorEastAsia" w:hAnsiTheme="minorEastAsia" w:eastAsiaTheme="minorEastAsia"/>
          <w:position w:val="-12"/>
          <w:sz w:val="32"/>
          <w:szCs w:val="32"/>
          <w:vertAlign w:val="subscript"/>
        </w:rPr>
        <w:object>
          <v:shape id="_x0000_i1056" o:spt="75" type="#_x0000_t75" style="height:18.6pt;width:12.6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</w:rPr>
        <w:t>)</w:t>
      </w:r>
    </w:p>
    <w:p w14:paraId="56766FDE">
      <w:pPr>
        <w:spacing w:line="360" w:lineRule="auto"/>
        <w:ind w:firstLine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合成标准不确定度按式（D.8）计算。</w:t>
      </w:r>
    </w:p>
    <w:p w14:paraId="11534CF3">
      <w:pPr>
        <w:spacing w:line="360" w:lineRule="auto"/>
        <w:ind w:firstLine="720" w:firstLineChars="300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position w:val="-14"/>
          <w:sz w:val="24"/>
        </w:rPr>
        <w:object>
          <v:shape id="_x0000_i1057" o:spt="75" type="#_x0000_t75" style="height:23.4pt;width:355.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</w:rPr>
        <w:t xml:space="preserve">   （D.8）                                  </w:t>
      </w:r>
    </w:p>
    <w:p w14:paraId="630382AE">
      <w:pPr>
        <w:spacing w:line="440" w:lineRule="exact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D.4 扩展不确定度：</w:t>
      </w:r>
    </w:p>
    <w:p w14:paraId="33E78307">
      <w:pPr>
        <w:spacing w:line="440" w:lineRule="exact"/>
        <w:ind w:left="2640" w:hanging="2640" w:hangingChars="11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取包含因子</w:t>
      </w:r>
      <w:r>
        <w:rPr>
          <w:rFonts w:ascii="Times New Roman" w:hAnsi="Times New Roman" w:eastAsiaTheme="minorEastAsia"/>
          <w:i/>
          <w:sz w:val="24"/>
        </w:rPr>
        <w:t>k</w:t>
      </w:r>
      <w:r>
        <w:rPr>
          <w:rFonts w:hint="eastAsia" w:asciiTheme="minorEastAsia" w:hAnsiTheme="minorEastAsia" w:eastAsiaTheme="minorEastAsia"/>
          <w:sz w:val="24"/>
        </w:rPr>
        <w:t>=2，分析仪的相对扩展不确定度按式(D.9)计算。</w:t>
      </w:r>
      <w:r>
        <w:rPr>
          <w:rFonts w:asciiTheme="minorEastAsia" w:hAnsiTheme="minorEastAsia" w:eastAsiaTheme="minorEastAsia"/>
          <w:position w:val="-12"/>
          <w:sz w:val="32"/>
          <w:szCs w:val="32"/>
          <w:vertAlign w:val="subscript"/>
        </w:rPr>
        <w:object>
          <v:shape id="_x0000_i1058" o:spt="75" type="#_x0000_t75" style="height:18.6pt;width:170.4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position w:val="-14"/>
          <w:sz w:val="32"/>
          <w:szCs w:val="32"/>
          <w:vertAlign w:val="subscript"/>
        </w:rPr>
        <w:t xml:space="preserve">                           </w:t>
      </w:r>
      <w:r>
        <w:rPr>
          <w:rFonts w:hint="eastAsia" w:asciiTheme="minorEastAsia" w:hAnsiTheme="minorEastAsia" w:eastAsiaTheme="minorEastAsia"/>
          <w:sz w:val="24"/>
        </w:rPr>
        <w:t>（D.9）</w:t>
      </w:r>
    </w:p>
    <w:sectPr>
      <w:headerReference r:id="rId12" w:type="default"/>
      <w:footerReference r:id="rId13" w:type="default"/>
      <w:type w:val="continuous"/>
      <w:pgSz w:w="11906" w:h="16838"/>
      <w:pgMar w:top="1440" w:right="1469" w:bottom="1440" w:left="1622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80179">
    <w:pPr>
      <w:tabs>
        <w:tab w:val="right" w:pos="8306"/>
      </w:tabs>
      <w:snapToGrid w:val="0"/>
      <w:jc w:val="right"/>
      <w:textAlignment w:val="baseline"/>
      <w:rPr>
        <w:sz w:val="18"/>
      </w:rPr>
    </w:pPr>
  </w:p>
  <w:p w14:paraId="4362CC5C">
    <w:pPr>
      <w:tabs>
        <w:tab w:val="center" w:pos="4153"/>
        <w:tab w:val="right" w:pos="8306"/>
      </w:tabs>
      <w:snapToGrid w:val="0"/>
      <w:ind w:right="360"/>
      <w:jc w:val="left"/>
      <w:rPr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D0496B">
    <w:pPr>
      <w:pStyle w:val="6"/>
      <w:jc w:val="both"/>
    </w:pPr>
    <w:r>
      <w:t xml:space="preserve">                                                                                               </w:t>
    </w:r>
    <w:r>
      <w:rPr>
        <w:rFonts w:hint="eastAsia"/>
      </w:rPr>
      <w:t>Ⅰ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01419">
    <w:pPr>
      <w:pStyle w:val="6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8</w:t>
    </w:r>
    <w:r>
      <w:rPr>
        <w:lang w:val="zh-CN"/>
      </w:rPr>
      <w:fldChar w:fldCharType="end"/>
    </w:r>
  </w:p>
  <w:p w14:paraId="34C96C37">
    <w:pPr>
      <w:pStyle w:val="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3FC66">
    <w:pPr>
      <w:pStyle w:val="6"/>
      <w:jc w:val="both"/>
    </w:pPr>
    <w:r>
      <w:rPr>
        <w:rFonts w:hint="eastAsia"/>
      </w:rPr>
      <w:t>Ⅱ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4FFE5">
    <w:pPr>
      <w:pStyle w:val="6"/>
      <w:jc w:val="both"/>
    </w:pPr>
    <w:r>
      <w:rPr>
        <w:rFonts w:hint="eastAsia"/>
      </w:rPr>
      <w:t>Ⅱ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EA680E">
    <w:pPr>
      <w:pStyle w:val="6"/>
    </w:pPr>
    <w:r>
      <w:rPr>
        <w:rFonts w:hint="eastAsia" w:ascii="宋体" w:hAnsi="宋体"/>
      </w:rPr>
      <w:t>Ⅱ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9CF2E">
    <w:pPr>
      <w:pStyle w:val="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10</w:t>
    </w:r>
    <w:r>
      <w:rPr>
        <w:lang w:val="zh-CN"/>
      </w:rPr>
      <w:fldChar w:fldCharType="end"/>
    </w:r>
  </w:p>
  <w:p w14:paraId="68E15DC7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5EFE94">
    <w:pPr>
      <w:pStyle w:val="7"/>
      <w:rPr>
        <w:rFonts w:ascii="黑体" w:eastAsia="黑体"/>
        <w:sz w:val="21"/>
      </w:rPr>
    </w:pPr>
    <w:r>
      <w:rPr>
        <w:rFonts w:ascii="Times New Roman" w:hAnsi="Times New Roman" w:eastAsia="黑体"/>
        <w:bCs/>
        <w:sz w:val="21"/>
      </w:rPr>
      <w:t>JJF</w:t>
    </w:r>
    <w:r>
      <w:rPr>
        <w:rFonts w:hint="eastAsia" w:ascii="Times New Roman" w:hAnsi="Times New Roman" w:eastAsia="黑体"/>
        <w:bCs/>
        <w:sz w:val="21"/>
      </w:rPr>
      <w:t>（皖</w:t>
    </w:r>
    <w:r>
      <w:rPr>
        <w:rFonts w:hint="eastAsia" w:ascii="黑体" w:eastAsia="黑体"/>
        <w:bCs/>
        <w:sz w:val="21"/>
      </w:rPr>
      <w:t>）</w:t>
    </w:r>
    <w:r>
      <w:rPr>
        <w:rFonts w:ascii="黑体" w:eastAsia="黑体"/>
        <w:bCs/>
        <w:sz w:val="21"/>
      </w:rPr>
      <w:t>XXX-XXXX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70F37">
    <w:pPr>
      <w:pStyle w:val="7"/>
      <w:rPr>
        <w:rFonts w:ascii="黑体" w:eastAsia="黑体"/>
        <w:sz w:val="21"/>
      </w:rPr>
    </w:pPr>
    <w:r>
      <w:rPr>
        <w:rFonts w:ascii="Times New Roman" w:hAnsi="Times New Roman" w:eastAsia="黑体"/>
        <w:bCs/>
        <w:sz w:val="21"/>
      </w:rPr>
      <w:t>JJF</w:t>
    </w:r>
    <w:r>
      <w:rPr>
        <w:rFonts w:hint="eastAsia" w:ascii="Times New Roman" w:hAnsi="Times New Roman" w:eastAsia="黑体"/>
        <w:bCs/>
        <w:sz w:val="21"/>
      </w:rPr>
      <w:t>（皖</w:t>
    </w:r>
    <w:r>
      <w:rPr>
        <w:rFonts w:hint="eastAsia" w:ascii="黑体" w:eastAsia="黑体"/>
        <w:bCs/>
        <w:sz w:val="21"/>
      </w:rPr>
      <w:t>）</w:t>
    </w:r>
    <w:r>
      <w:rPr>
        <w:rFonts w:ascii="黑体" w:eastAsia="黑体"/>
        <w:bCs/>
        <w:sz w:val="21"/>
      </w:rPr>
      <w:t>XXXX-XXXX</w:t>
    </w:r>
  </w:p>
  <w:p w14:paraId="69C99380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238DB">
    <w:pPr>
      <w:pStyle w:val="7"/>
      <w:rPr>
        <w:rFonts w:ascii="黑体" w:eastAsia="黑体"/>
        <w:sz w:val="21"/>
      </w:rPr>
    </w:pPr>
    <w:r>
      <w:rPr>
        <w:rFonts w:ascii="Times New Roman" w:hAnsi="Times New Roman" w:eastAsia="黑体"/>
        <w:bCs/>
        <w:sz w:val="21"/>
      </w:rPr>
      <w:t>JJF</w:t>
    </w:r>
    <w:r>
      <w:rPr>
        <w:rFonts w:hint="eastAsia" w:ascii="Times New Roman" w:hAnsi="Times New Roman" w:eastAsia="黑体"/>
        <w:bCs/>
        <w:sz w:val="21"/>
      </w:rPr>
      <w:t>（皖</w:t>
    </w:r>
    <w:r>
      <w:rPr>
        <w:rFonts w:hint="eastAsia" w:ascii="黑体" w:eastAsia="黑体"/>
        <w:bCs/>
        <w:sz w:val="21"/>
      </w:rPr>
      <w:t>）</w:t>
    </w:r>
    <w:r>
      <w:rPr>
        <w:rFonts w:ascii="黑体" w:eastAsia="黑体"/>
        <w:bCs/>
        <w:sz w:val="21"/>
      </w:rPr>
      <w:t>XX</w:t>
    </w:r>
    <w:r>
      <w:rPr>
        <w:rFonts w:hint="eastAsia" w:ascii="黑体" w:eastAsia="黑体"/>
        <w:bCs/>
        <w:sz w:val="21"/>
      </w:rPr>
      <w:t>X</w:t>
    </w:r>
    <w:r>
      <w:rPr>
        <w:rFonts w:ascii="黑体" w:eastAsia="黑体"/>
        <w:bCs/>
        <w:sz w:val="21"/>
      </w:rPr>
      <w:t>-XXXX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99039">
    <w:pPr>
      <w:pStyle w:val="7"/>
      <w:rPr>
        <w:rFonts w:ascii="黑体" w:eastAsia="黑体"/>
        <w:sz w:val="21"/>
      </w:rPr>
    </w:pPr>
    <w:r>
      <w:rPr>
        <w:rFonts w:ascii="Times New Roman" w:hAnsi="Times New Roman" w:eastAsia="黑体"/>
        <w:bCs/>
        <w:sz w:val="21"/>
      </w:rPr>
      <w:t>JJF</w:t>
    </w:r>
    <w:r>
      <w:rPr>
        <w:rFonts w:hint="eastAsia" w:ascii="Times New Roman" w:hAnsi="Times New Roman" w:eastAsia="黑体"/>
        <w:bCs/>
        <w:sz w:val="21"/>
      </w:rPr>
      <w:t>（皖</w:t>
    </w:r>
    <w:r>
      <w:rPr>
        <w:rFonts w:hint="eastAsia" w:ascii="黑体" w:eastAsia="黑体"/>
        <w:bCs/>
        <w:sz w:val="21"/>
      </w:rPr>
      <w:t>）</w:t>
    </w:r>
    <w:r>
      <w:rPr>
        <w:rFonts w:ascii="黑体" w:eastAsia="黑体"/>
        <w:bCs/>
        <w:sz w:val="21"/>
      </w:rPr>
      <w:t>XX</w:t>
    </w:r>
    <w:r>
      <w:rPr>
        <w:rFonts w:hint="eastAsia" w:ascii="黑体" w:eastAsia="黑体"/>
        <w:bCs/>
        <w:sz w:val="21"/>
      </w:rPr>
      <w:t>X</w:t>
    </w:r>
    <w:r>
      <w:rPr>
        <w:rFonts w:ascii="黑体" w:eastAsia="黑体"/>
        <w:bCs/>
        <w:sz w:val="21"/>
      </w:rPr>
      <w:t>-XXXX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7FBACD"/>
    <w:multiLevelType w:val="singleLevel"/>
    <w:tmpl w:val="577FBAC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YWM4ZmNmMGJmOGUyYTQ0MDc1MTZiZDY2MmZiODYifQ=="/>
  </w:docVars>
  <w:rsids>
    <w:rsidRoot w:val="00194DDD"/>
    <w:rsid w:val="00003BF4"/>
    <w:rsid w:val="0000557A"/>
    <w:rsid w:val="000063FD"/>
    <w:rsid w:val="000122FD"/>
    <w:rsid w:val="0001530B"/>
    <w:rsid w:val="000170AB"/>
    <w:rsid w:val="00026A47"/>
    <w:rsid w:val="0002706C"/>
    <w:rsid w:val="00034E1C"/>
    <w:rsid w:val="0005178F"/>
    <w:rsid w:val="00054E2B"/>
    <w:rsid w:val="00061089"/>
    <w:rsid w:val="00063638"/>
    <w:rsid w:val="00065659"/>
    <w:rsid w:val="00065678"/>
    <w:rsid w:val="00086290"/>
    <w:rsid w:val="000917D7"/>
    <w:rsid w:val="00091C1E"/>
    <w:rsid w:val="0009301F"/>
    <w:rsid w:val="0009529F"/>
    <w:rsid w:val="000A385F"/>
    <w:rsid w:val="000B05FE"/>
    <w:rsid w:val="000B3AFA"/>
    <w:rsid w:val="000C004A"/>
    <w:rsid w:val="000D6F49"/>
    <w:rsid w:val="000F5E1D"/>
    <w:rsid w:val="00100DD6"/>
    <w:rsid w:val="00103DEA"/>
    <w:rsid w:val="00104A0B"/>
    <w:rsid w:val="001112B5"/>
    <w:rsid w:val="0012681B"/>
    <w:rsid w:val="00132096"/>
    <w:rsid w:val="0013420C"/>
    <w:rsid w:val="00134B68"/>
    <w:rsid w:val="00134D03"/>
    <w:rsid w:val="001402AB"/>
    <w:rsid w:val="00141646"/>
    <w:rsid w:val="0014191E"/>
    <w:rsid w:val="00144605"/>
    <w:rsid w:val="00146F04"/>
    <w:rsid w:val="00154EAF"/>
    <w:rsid w:val="001668F3"/>
    <w:rsid w:val="00177CA3"/>
    <w:rsid w:val="00180962"/>
    <w:rsid w:val="00185185"/>
    <w:rsid w:val="00185CAE"/>
    <w:rsid w:val="00186E7F"/>
    <w:rsid w:val="001906DA"/>
    <w:rsid w:val="00190C6A"/>
    <w:rsid w:val="00191020"/>
    <w:rsid w:val="00194DDD"/>
    <w:rsid w:val="001A2F28"/>
    <w:rsid w:val="001B174C"/>
    <w:rsid w:val="001B5587"/>
    <w:rsid w:val="001B5691"/>
    <w:rsid w:val="001C6084"/>
    <w:rsid w:val="001D247B"/>
    <w:rsid w:val="001D58C3"/>
    <w:rsid w:val="001E6443"/>
    <w:rsid w:val="001E7D99"/>
    <w:rsid w:val="001E7F8C"/>
    <w:rsid w:val="001F0B55"/>
    <w:rsid w:val="001F1BFC"/>
    <w:rsid w:val="00214D87"/>
    <w:rsid w:val="002303D9"/>
    <w:rsid w:val="002420A7"/>
    <w:rsid w:val="0025346C"/>
    <w:rsid w:val="0025608B"/>
    <w:rsid w:val="00260F8D"/>
    <w:rsid w:val="002671EE"/>
    <w:rsid w:val="00267A4F"/>
    <w:rsid w:val="00274341"/>
    <w:rsid w:val="00274CF7"/>
    <w:rsid w:val="00286BE1"/>
    <w:rsid w:val="0028754D"/>
    <w:rsid w:val="002902B1"/>
    <w:rsid w:val="00295984"/>
    <w:rsid w:val="002959CD"/>
    <w:rsid w:val="0029616C"/>
    <w:rsid w:val="002B62FA"/>
    <w:rsid w:val="002B6A47"/>
    <w:rsid w:val="002C318F"/>
    <w:rsid w:val="002D2816"/>
    <w:rsid w:val="002D29C0"/>
    <w:rsid w:val="00300BC4"/>
    <w:rsid w:val="00301CBB"/>
    <w:rsid w:val="003112E7"/>
    <w:rsid w:val="0031260C"/>
    <w:rsid w:val="00323DB0"/>
    <w:rsid w:val="0033017E"/>
    <w:rsid w:val="003310AE"/>
    <w:rsid w:val="00341165"/>
    <w:rsid w:val="00341693"/>
    <w:rsid w:val="00353FC0"/>
    <w:rsid w:val="00357D49"/>
    <w:rsid w:val="00372C3C"/>
    <w:rsid w:val="00372CF9"/>
    <w:rsid w:val="00387BF6"/>
    <w:rsid w:val="0039785F"/>
    <w:rsid w:val="003A24F5"/>
    <w:rsid w:val="003A4E97"/>
    <w:rsid w:val="003B5E5D"/>
    <w:rsid w:val="003D0380"/>
    <w:rsid w:val="003D1DEE"/>
    <w:rsid w:val="003D44BB"/>
    <w:rsid w:val="003E16E0"/>
    <w:rsid w:val="003E2850"/>
    <w:rsid w:val="003E69CF"/>
    <w:rsid w:val="00401C9E"/>
    <w:rsid w:val="004110D7"/>
    <w:rsid w:val="00417B59"/>
    <w:rsid w:val="00422A7E"/>
    <w:rsid w:val="004344D5"/>
    <w:rsid w:val="004369F8"/>
    <w:rsid w:val="00441737"/>
    <w:rsid w:val="004461AA"/>
    <w:rsid w:val="00447935"/>
    <w:rsid w:val="00465D4B"/>
    <w:rsid w:val="0046767A"/>
    <w:rsid w:val="00467861"/>
    <w:rsid w:val="00471C9D"/>
    <w:rsid w:val="004720C7"/>
    <w:rsid w:val="0047271A"/>
    <w:rsid w:val="00476DAD"/>
    <w:rsid w:val="0048081C"/>
    <w:rsid w:val="00491B69"/>
    <w:rsid w:val="004A1F0C"/>
    <w:rsid w:val="004A299A"/>
    <w:rsid w:val="004A71C9"/>
    <w:rsid w:val="004B0928"/>
    <w:rsid w:val="004B4198"/>
    <w:rsid w:val="004C0337"/>
    <w:rsid w:val="004C74E4"/>
    <w:rsid w:val="004C7CB7"/>
    <w:rsid w:val="004D74D0"/>
    <w:rsid w:val="004F7FFA"/>
    <w:rsid w:val="0050398E"/>
    <w:rsid w:val="00504E56"/>
    <w:rsid w:val="00504FEF"/>
    <w:rsid w:val="005115CA"/>
    <w:rsid w:val="005231EE"/>
    <w:rsid w:val="00523F4D"/>
    <w:rsid w:val="00531127"/>
    <w:rsid w:val="0053348C"/>
    <w:rsid w:val="00534E6D"/>
    <w:rsid w:val="005415B3"/>
    <w:rsid w:val="00541F89"/>
    <w:rsid w:val="0055324F"/>
    <w:rsid w:val="005664AA"/>
    <w:rsid w:val="00571412"/>
    <w:rsid w:val="00582FAA"/>
    <w:rsid w:val="005836F8"/>
    <w:rsid w:val="00595AA0"/>
    <w:rsid w:val="005A7DAE"/>
    <w:rsid w:val="005B118B"/>
    <w:rsid w:val="005B6FF7"/>
    <w:rsid w:val="005D4448"/>
    <w:rsid w:val="005D5BA9"/>
    <w:rsid w:val="005E4671"/>
    <w:rsid w:val="005E71D7"/>
    <w:rsid w:val="006011C4"/>
    <w:rsid w:val="0060418B"/>
    <w:rsid w:val="00622F9C"/>
    <w:rsid w:val="00625C52"/>
    <w:rsid w:val="006317BF"/>
    <w:rsid w:val="00645BFA"/>
    <w:rsid w:val="00650518"/>
    <w:rsid w:val="00654925"/>
    <w:rsid w:val="0065677C"/>
    <w:rsid w:val="0066676A"/>
    <w:rsid w:val="00667407"/>
    <w:rsid w:val="006704A4"/>
    <w:rsid w:val="00670D6C"/>
    <w:rsid w:val="006832B6"/>
    <w:rsid w:val="0068627C"/>
    <w:rsid w:val="00691548"/>
    <w:rsid w:val="006A136B"/>
    <w:rsid w:val="006A702F"/>
    <w:rsid w:val="006B486A"/>
    <w:rsid w:val="006C064E"/>
    <w:rsid w:val="006C2A33"/>
    <w:rsid w:val="006C4C5A"/>
    <w:rsid w:val="006C749E"/>
    <w:rsid w:val="006D18A3"/>
    <w:rsid w:val="006D3C11"/>
    <w:rsid w:val="006D6639"/>
    <w:rsid w:val="006D77FE"/>
    <w:rsid w:val="006E175F"/>
    <w:rsid w:val="006E2E28"/>
    <w:rsid w:val="006F4A53"/>
    <w:rsid w:val="006F6A0B"/>
    <w:rsid w:val="006F775B"/>
    <w:rsid w:val="00700F58"/>
    <w:rsid w:val="00714376"/>
    <w:rsid w:val="00715D58"/>
    <w:rsid w:val="00717AC6"/>
    <w:rsid w:val="007215A5"/>
    <w:rsid w:val="00730A3E"/>
    <w:rsid w:val="00746DA7"/>
    <w:rsid w:val="00754182"/>
    <w:rsid w:val="007601EC"/>
    <w:rsid w:val="0077216E"/>
    <w:rsid w:val="0077643C"/>
    <w:rsid w:val="00777EF6"/>
    <w:rsid w:val="00781132"/>
    <w:rsid w:val="00781138"/>
    <w:rsid w:val="00781940"/>
    <w:rsid w:val="00784558"/>
    <w:rsid w:val="00785ED4"/>
    <w:rsid w:val="0079750A"/>
    <w:rsid w:val="007A39C1"/>
    <w:rsid w:val="007A481D"/>
    <w:rsid w:val="007A6962"/>
    <w:rsid w:val="007C2E73"/>
    <w:rsid w:val="007C582B"/>
    <w:rsid w:val="007D556D"/>
    <w:rsid w:val="007D57B9"/>
    <w:rsid w:val="007E01D3"/>
    <w:rsid w:val="007F7D2C"/>
    <w:rsid w:val="008030AB"/>
    <w:rsid w:val="00812134"/>
    <w:rsid w:val="008177CE"/>
    <w:rsid w:val="00821D0E"/>
    <w:rsid w:val="008423EE"/>
    <w:rsid w:val="00852B4C"/>
    <w:rsid w:val="008579F7"/>
    <w:rsid w:val="0086287F"/>
    <w:rsid w:val="00864096"/>
    <w:rsid w:val="00864907"/>
    <w:rsid w:val="00864B29"/>
    <w:rsid w:val="0087229A"/>
    <w:rsid w:val="00872456"/>
    <w:rsid w:val="00883D1E"/>
    <w:rsid w:val="00886B4D"/>
    <w:rsid w:val="008B38AC"/>
    <w:rsid w:val="008C14EB"/>
    <w:rsid w:val="008D244F"/>
    <w:rsid w:val="008D610B"/>
    <w:rsid w:val="008D6244"/>
    <w:rsid w:val="008E01A0"/>
    <w:rsid w:val="008E1B95"/>
    <w:rsid w:val="008E595B"/>
    <w:rsid w:val="008E7BEE"/>
    <w:rsid w:val="008F03E5"/>
    <w:rsid w:val="009041E7"/>
    <w:rsid w:val="0090444F"/>
    <w:rsid w:val="009101CB"/>
    <w:rsid w:val="00920780"/>
    <w:rsid w:val="0093475D"/>
    <w:rsid w:val="0093726E"/>
    <w:rsid w:val="00950CAF"/>
    <w:rsid w:val="0095126E"/>
    <w:rsid w:val="00954825"/>
    <w:rsid w:val="00956334"/>
    <w:rsid w:val="00957A62"/>
    <w:rsid w:val="00964D68"/>
    <w:rsid w:val="009654DA"/>
    <w:rsid w:val="00965FA2"/>
    <w:rsid w:val="009708A7"/>
    <w:rsid w:val="00986559"/>
    <w:rsid w:val="00987C09"/>
    <w:rsid w:val="00997595"/>
    <w:rsid w:val="009A4EBD"/>
    <w:rsid w:val="009B05A2"/>
    <w:rsid w:val="009B5605"/>
    <w:rsid w:val="009B62E2"/>
    <w:rsid w:val="009B7EE4"/>
    <w:rsid w:val="009C0453"/>
    <w:rsid w:val="009D1A14"/>
    <w:rsid w:val="009D2075"/>
    <w:rsid w:val="009D5351"/>
    <w:rsid w:val="009D5516"/>
    <w:rsid w:val="009D6045"/>
    <w:rsid w:val="009D67B9"/>
    <w:rsid w:val="009E3422"/>
    <w:rsid w:val="009F0E2E"/>
    <w:rsid w:val="009F23D5"/>
    <w:rsid w:val="009F4423"/>
    <w:rsid w:val="009F459A"/>
    <w:rsid w:val="009F4751"/>
    <w:rsid w:val="009F4D67"/>
    <w:rsid w:val="009F525B"/>
    <w:rsid w:val="00A008D6"/>
    <w:rsid w:val="00A025A0"/>
    <w:rsid w:val="00A07CF6"/>
    <w:rsid w:val="00A71D6D"/>
    <w:rsid w:val="00A80A7F"/>
    <w:rsid w:val="00A95437"/>
    <w:rsid w:val="00AB1FC5"/>
    <w:rsid w:val="00AB5CCA"/>
    <w:rsid w:val="00AB7666"/>
    <w:rsid w:val="00AB7741"/>
    <w:rsid w:val="00AD3C24"/>
    <w:rsid w:val="00AD4DAF"/>
    <w:rsid w:val="00AE06FA"/>
    <w:rsid w:val="00AE2FF7"/>
    <w:rsid w:val="00AF0618"/>
    <w:rsid w:val="00B10788"/>
    <w:rsid w:val="00B11AB2"/>
    <w:rsid w:val="00B13430"/>
    <w:rsid w:val="00B13BD3"/>
    <w:rsid w:val="00B15DBE"/>
    <w:rsid w:val="00B22578"/>
    <w:rsid w:val="00B35A8C"/>
    <w:rsid w:val="00B374DE"/>
    <w:rsid w:val="00B45381"/>
    <w:rsid w:val="00B64CFF"/>
    <w:rsid w:val="00B70F7C"/>
    <w:rsid w:val="00B824D6"/>
    <w:rsid w:val="00B87A4F"/>
    <w:rsid w:val="00B93C37"/>
    <w:rsid w:val="00B96010"/>
    <w:rsid w:val="00BB5049"/>
    <w:rsid w:val="00BB5F42"/>
    <w:rsid w:val="00BC2998"/>
    <w:rsid w:val="00BD0354"/>
    <w:rsid w:val="00BD703E"/>
    <w:rsid w:val="00BE5CD1"/>
    <w:rsid w:val="00BF7693"/>
    <w:rsid w:val="00C00687"/>
    <w:rsid w:val="00C014D6"/>
    <w:rsid w:val="00C1217E"/>
    <w:rsid w:val="00C123A9"/>
    <w:rsid w:val="00C21AC5"/>
    <w:rsid w:val="00C241BB"/>
    <w:rsid w:val="00C246D4"/>
    <w:rsid w:val="00C25849"/>
    <w:rsid w:val="00C31E44"/>
    <w:rsid w:val="00C47CB0"/>
    <w:rsid w:val="00C530E1"/>
    <w:rsid w:val="00C54BAC"/>
    <w:rsid w:val="00C56EF2"/>
    <w:rsid w:val="00C64E0D"/>
    <w:rsid w:val="00C662E1"/>
    <w:rsid w:val="00C748F2"/>
    <w:rsid w:val="00C75551"/>
    <w:rsid w:val="00C75A26"/>
    <w:rsid w:val="00C82DD0"/>
    <w:rsid w:val="00CA03B7"/>
    <w:rsid w:val="00CA494C"/>
    <w:rsid w:val="00CA4D7E"/>
    <w:rsid w:val="00CA59CD"/>
    <w:rsid w:val="00CB44D6"/>
    <w:rsid w:val="00CC2CBA"/>
    <w:rsid w:val="00CD497A"/>
    <w:rsid w:val="00CE2B7F"/>
    <w:rsid w:val="00CF311D"/>
    <w:rsid w:val="00D0689A"/>
    <w:rsid w:val="00D11281"/>
    <w:rsid w:val="00D11337"/>
    <w:rsid w:val="00D120EC"/>
    <w:rsid w:val="00D1684B"/>
    <w:rsid w:val="00D1735F"/>
    <w:rsid w:val="00D2658C"/>
    <w:rsid w:val="00D30F5F"/>
    <w:rsid w:val="00D315B2"/>
    <w:rsid w:val="00D31A6C"/>
    <w:rsid w:val="00D32ABC"/>
    <w:rsid w:val="00D40095"/>
    <w:rsid w:val="00D41A97"/>
    <w:rsid w:val="00D426B6"/>
    <w:rsid w:val="00D42907"/>
    <w:rsid w:val="00D43C81"/>
    <w:rsid w:val="00D46CC8"/>
    <w:rsid w:val="00D525BB"/>
    <w:rsid w:val="00D53110"/>
    <w:rsid w:val="00D56758"/>
    <w:rsid w:val="00D61E99"/>
    <w:rsid w:val="00D75B2F"/>
    <w:rsid w:val="00D81DB4"/>
    <w:rsid w:val="00D902EE"/>
    <w:rsid w:val="00D974C9"/>
    <w:rsid w:val="00DA2C80"/>
    <w:rsid w:val="00DB084F"/>
    <w:rsid w:val="00DC7AAD"/>
    <w:rsid w:val="00DD2FCC"/>
    <w:rsid w:val="00DD48B5"/>
    <w:rsid w:val="00DD79EE"/>
    <w:rsid w:val="00DE7397"/>
    <w:rsid w:val="00DF0E4C"/>
    <w:rsid w:val="00DF4DD9"/>
    <w:rsid w:val="00E0182D"/>
    <w:rsid w:val="00E11676"/>
    <w:rsid w:val="00E1405F"/>
    <w:rsid w:val="00E174ED"/>
    <w:rsid w:val="00E27ABF"/>
    <w:rsid w:val="00E30D5A"/>
    <w:rsid w:val="00E320AD"/>
    <w:rsid w:val="00E35B14"/>
    <w:rsid w:val="00E47C29"/>
    <w:rsid w:val="00E51337"/>
    <w:rsid w:val="00E525DB"/>
    <w:rsid w:val="00E52BA3"/>
    <w:rsid w:val="00E61F32"/>
    <w:rsid w:val="00E76815"/>
    <w:rsid w:val="00E84E9B"/>
    <w:rsid w:val="00E919D5"/>
    <w:rsid w:val="00E95331"/>
    <w:rsid w:val="00EA0395"/>
    <w:rsid w:val="00EA2A1D"/>
    <w:rsid w:val="00EB04AB"/>
    <w:rsid w:val="00EC01AC"/>
    <w:rsid w:val="00EC0762"/>
    <w:rsid w:val="00EC0993"/>
    <w:rsid w:val="00EC62CA"/>
    <w:rsid w:val="00EE7786"/>
    <w:rsid w:val="00EF3B4E"/>
    <w:rsid w:val="00EF6C10"/>
    <w:rsid w:val="00F0262A"/>
    <w:rsid w:val="00F05326"/>
    <w:rsid w:val="00F13202"/>
    <w:rsid w:val="00F13997"/>
    <w:rsid w:val="00F1730C"/>
    <w:rsid w:val="00F2330E"/>
    <w:rsid w:val="00F30C8C"/>
    <w:rsid w:val="00F3564A"/>
    <w:rsid w:val="00F37FE1"/>
    <w:rsid w:val="00F515DB"/>
    <w:rsid w:val="00F5229C"/>
    <w:rsid w:val="00F60CE8"/>
    <w:rsid w:val="00F61732"/>
    <w:rsid w:val="00F829FC"/>
    <w:rsid w:val="00F84222"/>
    <w:rsid w:val="00F87A5D"/>
    <w:rsid w:val="00F911F5"/>
    <w:rsid w:val="00F93832"/>
    <w:rsid w:val="00FA19B7"/>
    <w:rsid w:val="00FA1E49"/>
    <w:rsid w:val="00FA676A"/>
    <w:rsid w:val="00FC2F71"/>
    <w:rsid w:val="00FC63A5"/>
    <w:rsid w:val="00FD107B"/>
    <w:rsid w:val="00FD5203"/>
    <w:rsid w:val="00FD6012"/>
    <w:rsid w:val="00FD67AB"/>
    <w:rsid w:val="00FE0784"/>
    <w:rsid w:val="00FE7AF9"/>
    <w:rsid w:val="00FF313D"/>
    <w:rsid w:val="00FF73BE"/>
    <w:rsid w:val="019E7F3D"/>
    <w:rsid w:val="03634328"/>
    <w:rsid w:val="03963644"/>
    <w:rsid w:val="044658F5"/>
    <w:rsid w:val="048E097B"/>
    <w:rsid w:val="06A3708D"/>
    <w:rsid w:val="07533E43"/>
    <w:rsid w:val="0888203D"/>
    <w:rsid w:val="0A0C04D1"/>
    <w:rsid w:val="0B387AB7"/>
    <w:rsid w:val="0BF45573"/>
    <w:rsid w:val="0CC775F6"/>
    <w:rsid w:val="0D237E5F"/>
    <w:rsid w:val="0DEF62A9"/>
    <w:rsid w:val="0E02093C"/>
    <w:rsid w:val="0E195228"/>
    <w:rsid w:val="0E8C0B11"/>
    <w:rsid w:val="0F9022CC"/>
    <w:rsid w:val="1582093B"/>
    <w:rsid w:val="159A4A10"/>
    <w:rsid w:val="16F616BE"/>
    <w:rsid w:val="17490C28"/>
    <w:rsid w:val="18072B73"/>
    <w:rsid w:val="1B9A7E6F"/>
    <w:rsid w:val="1BC1317B"/>
    <w:rsid w:val="1C8E6237"/>
    <w:rsid w:val="1D1112D2"/>
    <w:rsid w:val="1F61579C"/>
    <w:rsid w:val="1F725638"/>
    <w:rsid w:val="23BB5E66"/>
    <w:rsid w:val="267B5810"/>
    <w:rsid w:val="28216165"/>
    <w:rsid w:val="28C43F84"/>
    <w:rsid w:val="29BE3376"/>
    <w:rsid w:val="2A705019"/>
    <w:rsid w:val="2A9C53B3"/>
    <w:rsid w:val="2D891ACA"/>
    <w:rsid w:val="310C3CE5"/>
    <w:rsid w:val="3135255E"/>
    <w:rsid w:val="317B38F9"/>
    <w:rsid w:val="31D803EC"/>
    <w:rsid w:val="321A30FD"/>
    <w:rsid w:val="325A122C"/>
    <w:rsid w:val="32DF112F"/>
    <w:rsid w:val="33062754"/>
    <w:rsid w:val="34744D86"/>
    <w:rsid w:val="359B201E"/>
    <w:rsid w:val="35A94A27"/>
    <w:rsid w:val="36516AEC"/>
    <w:rsid w:val="39357C50"/>
    <w:rsid w:val="39F647C6"/>
    <w:rsid w:val="3A3E331D"/>
    <w:rsid w:val="3B64626A"/>
    <w:rsid w:val="3CD437CE"/>
    <w:rsid w:val="3D8E0FEA"/>
    <w:rsid w:val="42C90BE5"/>
    <w:rsid w:val="43542C27"/>
    <w:rsid w:val="43833AFD"/>
    <w:rsid w:val="441401D8"/>
    <w:rsid w:val="46833A15"/>
    <w:rsid w:val="473D350D"/>
    <w:rsid w:val="485B727B"/>
    <w:rsid w:val="4A0B043D"/>
    <w:rsid w:val="4A414F1D"/>
    <w:rsid w:val="4C43200D"/>
    <w:rsid w:val="4C43601E"/>
    <w:rsid w:val="4CD06591"/>
    <w:rsid w:val="4D90476E"/>
    <w:rsid w:val="50E92EFE"/>
    <w:rsid w:val="50F10DB2"/>
    <w:rsid w:val="514509C7"/>
    <w:rsid w:val="54436F0C"/>
    <w:rsid w:val="561B2233"/>
    <w:rsid w:val="56BC1305"/>
    <w:rsid w:val="59167DA4"/>
    <w:rsid w:val="5EA82595"/>
    <w:rsid w:val="64432611"/>
    <w:rsid w:val="66872664"/>
    <w:rsid w:val="675F7C37"/>
    <w:rsid w:val="67B1564D"/>
    <w:rsid w:val="69446775"/>
    <w:rsid w:val="6DEA341C"/>
    <w:rsid w:val="712324C8"/>
    <w:rsid w:val="74FF19C9"/>
    <w:rsid w:val="77683250"/>
    <w:rsid w:val="77D23D47"/>
    <w:rsid w:val="787D567B"/>
    <w:rsid w:val="78F26D93"/>
    <w:rsid w:val="7A2901A6"/>
    <w:rsid w:val="7A356AD3"/>
    <w:rsid w:val="7ACD1D04"/>
    <w:rsid w:val="7B3459C8"/>
    <w:rsid w:val="7FB91EAF"/>
    <w:rsid w:val="7FE5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043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qFormat="1" w:unhideWhenUsed="0" w:uiPriority="99" w:name="endnote reference"/>
    <w:lsdException w:qFormat="1" w:unhideWhenUsed="0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4"/>
    <w:qFormat/>
    <w:uiPriority w:val="0"/>
    <w:rPr>
      <w:rFonts w:ascii="宋体" w:hAnsi="Courier New"/>
      <w:szCs w:val="20"/>
    </w:rPr>
  </w:style>
  <w:style w:type="paragraph" w:styleId="4">
    <w:name w:val="endnote text"/>
    <w:basedOn w:val="1"/>
    <w:link w:val="15"/>
    <w:semiHidden/>
    <w:qFormat/>
    <w:uiPriority w:val="99"/>
    <w:pPr>
      <w:snapToGrid w:val="0"/>
      <w:jc w:val="left"/>
    </w:pPr>
  </w:style>
  <w:style w:type="paragraph" w:styleId="5">
    <w:name w:val="Balloon Text"/>
    <w:basedOn w:val="1"/>
    <w:link w:val="16"/>
    <w:qFormat/>
    <w:uiPriority w:val="99"/>
    <w:rPr>
      <w:sz w:val="18"/>
      <w:szCs w:val="18"/>
    </w:rPr>
  </w:style>
  <w:style w:type="paragraph" w:styleId="6">
    <w:name w:val="footer"/>
    <w:basedOn w:val="1"/>
    <w:next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9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endnote reference"/>
    <w:basedOn w:val="10"/>
    <w:semiHidden/>
    <w:qFormat/>
    <w:uiPriority w:val="99"/>
    <w:rPr>
      <w:rFonts w:cs="Times New Roman"/>
      <w:vertAlign w:val="superscript"/>
    </w:rPr>
  </w:style>
  <w:style w:type="character" w:styleId="12">
    <w:name w:val="annotation reference"/>
    <w:basedOn w:val="10"/>
    <w:qFormat/>
    <w:uiPriority w:val="99"/>
    <w:rPr>
      <w:rFonts w:cs="Times New Roman"/>
      <w:sz w:val="21"/>
    </w:rPr>
  </w:style>
  <w:style w:type="character" w:customStyle="1" w:styleId="13">
    <w:name w:val="标题 1 Char"/>
    <w:basedOn w:val="10"/>
    <w:link w:val="2"/>
    <w:qFormat/>
    <w:uiPriority w:val="9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4">
    <w:name w:val="纯文本 Char"/>
    <w:basedOn w:val="10"/>
    <w:link w:val="3"/>
    <w:qFormat/>
    <w:uiPriority w:val="0"/>
    <w:rPr>
      <w:rFonts w:ascii="宋体" w:hAnsi="Courier New" w:eastAsia="宋体" w:cs="Times New Roman"/>
      <w:sz w:val="20"/>
      <w:szCs w:val="20"/>
    </w:rPr>
  </w:style>
  <w:style w:type="character" w:customStyle="1" w:styleId="15">
    <w:name w:val="尾注文本 Char"/>
    <w:basedOn w:val="10"/>
    <w:link w:val="4"/>
    <w:semiHidden/>
    <w:qFormat/>
    <w:uiPriority w:val="99"/>
    <w:rPr>
      <w:rFonts w:ascii="Calibri" w:hAnsi="Calibri" w:eastAsia="宋体" w:cs="Times New Roman"/>
      <w:sz w:val="24"/>
      <w:szCs w:val="24"/>
    </w:rPr>
  </w:style>
  <w:style w:type="character" w:customStyle="1" w:styleId="16">
    <w:name w:val="批注框文本 Char"/>
    <w:basedOn w:val="10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页脚 Char"/>
    <w:basedOn w:val="10"/>
    <w:link w:val="6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页眉 Char"/>
    <w:basedOn w:val="10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character" w:styleId="19">
    <w:name w:val="Placeholder Text"/>
    <w:basedOn w:val="10"/>
    <w:semiHidden/>
    <w:qFormat/>
    <w:uiPriority w:val="99"/>
    <w:rPr>
      <w:color w:val="808080"/>
    </w:rPr>
  </w:style>
  <w:style w:type="character" w:customStyle="1" w:styleId="20">
    <w:name w:val="MTEquationSection"/>
    <w:basedOn w:val="10"/>
    <w:qFormat/>
    <w:uiPriority w:val="99"/>
    <w:rPr>
      <w:rFonts w:ascii="Times New Roman" w:hAnsi="Times New Roman" w:cs="Times New Roman"/>
      <w:b/>
      <w:bCs/>
      <w:vanish/>
      <w:color w:val="FF0000"/>
      <w:sz w:val="52"/>
    </w:rPr>
  </w:style>
  <w:style w:type="table" w:customStyle="1" w:styleId="21">
    <w:name w:val="3"/>
    <w:qFormat/>
    <w:uiPriority w:val="99"/>
    <w:pPr>
      <w:widowControl w:val="0"/>
      <w:autoSpaceDE w:val="0"/>
      <w:autoSpaceDN w:val="0"/>
      <w:adjustRightInd w:val="0"/>
    </w:pPr>
    <w:rPr>
      <w:sz w:val="24"/>
      <w:szCs w:val="24"/>
    </w:rPr>
    <w:tblPr>
      <w:tblCellSpacing w:w="0" w:type="dxa"/>
      <w:tblCellMar>
        <w:top w:w="0" w:type="dxa"/>
        <w:left w:w="108" w:type="dxa"/>
        <w:bottom w:w="0" w:type="dxa"/>
        <w:right w:w="108" w:type="dxa"/>
      </w:tblCellMar>
    </w:tblPr>
    <w:trPr>
      <w:cantSplit/>
      <w:tblCellSpacing w:w="0" w:type="dxa"/>
    </w:trPr>
  </w:style>
  <w:style w:type="paragraph" w:customStyle="1" w:styleId="22">
    <w:name w:val="TOC Heading1"/>
    <w:basedOn w:val="2"/>
    <w:next w:val="1"/>
    <w:semiHidden/>
    <w:qFormat/>
    <w:uiPriority w:val="9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3" Type="http://schemas.openxmlformats.org/officeDocument/2006/relationships/fontTable" Target="fontTable.xml"/><Relationship Id="rId82" Type="http://schemas.openxmlformats.org/officeDocument/2006/relationships/numbering" Target="numbering.xml"/><Relationship Id="rId81" Type="http://schemas.openxmlformats.org/officeDocument/2006/relationships/customXml" Target="../customXml/item1.xml"/><Relationship Id="rId80" Type="http://schemas.openxmlformats.org/officeDocument/2006/relationships/image" Target="media/image32.wmf"/><Relationship Id="rId8" Type="http://schemas.openxmlformats.org/officeDocument/2006/relationships/footer" Target="footer3.xml"/><Relationship Id="rId79" Type="http://schemas.openxmlformats.org/officeDocument/2006/relationships/oleObject" Target="embeddings/oleObject34.bin"/><Relationship Id="rId78" Type="http://schemas.openxmlformats.org/officeDocument/2006/relationships/image" Target="media/image31.wmf"/><Relationship Id="rId77" Type="http://schemas.openxmlformats.org/officeDocument/2006/relationships/oleObject" Target="embeddings/oleObject33.bin"/><Relationship Id="rId76" Type="http://schemas.openxmlformats.org/officeDocument/2006/relationships/image" Target="media/image30.wmf"/><Relationship Id="rId75" Type="http://schemas.openxmlformats.org/officeDocument/2006/relationships/oleObject" Target="embeddings/oleObject32.bin"/><Relationship Id="rId74" Type="http://schemas.openxmlformats.org/officeDocument/2006/relationships/image" Target="media/image29.wmf"/><Relationship Id="rId73" Type="http://schemas.openxmlformats.org/officeDocument/2006/relationships/oleObject" Target="embeddings/oleObject31.bin"/><Relationship Id="rId72" Type="http://schemas.openxmlformats.org/officeDocument/2006/relationships/image" Target="media/image28.wmf"/><Relationship Id="rId71" Type="http://schemas.openxmlformats.org/officeDocument/2006/relationships/oleObject" Target="embeddings/oleObject30.bin"/><Relationship Id="rId70" Type="http://schemas.openxmlformats.org/officeDocument/2006/relationships/image" Target="media/image27.wmf"/><Relationship Id="rId7" Type="http://schemas.openxmlformats.org/officeDocument/2006/relationships/footer" Target="footer2.xml"/><Relationship Id="rId69" Type="http://schemas.openxmlformats.org/officeDocument/2006/relationships/oleObject" Target="embeddings/oleObject29.bin"/><Relationship Id="rId68" Type="http://schemas.openxmlformats.org/officeDocument/2006/relationships/image" Target="media/image26.wmf"/><Relationship Id="rId67" Type="http://schemas.openxmlformats.org/officeDocument/2006/relationships/oleObject" Target="embeddings/oleObject28.bin"/><Relationship Id="rId66" Type="http://schemas.openxmlformats.org/officeDocument/2006/relationships/image" Target="media/image25.wmf"/><Relationship Id="rId65" Type="http://schemas.openxmlformats.org/officeDocument/2006/relationships/oleObject" Target="embeddings/oleObject27.bin"/><Relationship Id="rId64" Type="http://schemas.openxmlformats.org/officeDocument/2006/relationships/image" Target="media/image24.wmf"/><Relationship Id="rId63" Type="http://schemas.openxmlformats.org/officeDocument/2006/relationships/oleObject" Target="embeddings/oleObject26.bin"/><Relationship Id="rId62" Type="http://schemas.openxmlformats.org/officeDocument/2006/relationships/image" Target="media/image23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2.wmf"/><Relationship Id="rId6" Type="http://schemas.openxmlformats.org/officeDocument/2006/relationships/header" Target="header3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1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0.wmf"/><Relationship Id="rId55" Type="http://schemas.openxmlformats.org/officeDocument/2006/relationships/oleObject" Target="embeddings/oleObject22.bin"/><Relationship Id="rId54" Type="http://schemas.openxmlformats.org/officeDocument/2006/relationships/oleObject" Target="embeddings/oleObject21.bin"/><Relationship Id="rId53" Type="http://schemas.openxmlformats.org/officeDocument/2006/relationships/oleObject" Target="embeddings/oleObject20.bin"/><Relationship Id="rId52" Type="http://schemas.openxmlformats.org/officeDocument/2006/relationships/oleObject" Target="embeddings/oleObject19.bin"/><Relationship Id="rId51" Type="http://schemas.openxmlformats.org/officeDocument/2006/relationships/image" Target="media/image19.wmf"/><Relationship Id="rId50" Type="http://schemas.openxmlformats.org/officeDocument/2006/relationships/oleObject" Target="embeddings/oleObject18.bin"/><Relationship Id="rId5" Type="http://schemas.openxmlformats.org/officeDocument/2006/relationships/header" Target="header2.xml"/><Relationship Id="rId49" Type="http://schemas.openxmlformats.org/officeDocument/2006/relationships/image" Target="media/image18.wmf"/><Relationship Id="rId48" Type="http://schemas.openxmlformats.org/officeDocument/2006/relationships/oleObject" Target="embeddings/oleObject17.bin"/><Relationship Id="rId47" Type="http://schemas.openxmlformats.org/officeDocument/2006/relationships/image" Target="media/image17.wmf"/><Relationship Id="rId46" Type="http://schemas.openxmlformats.org/officeDocument/2006/relationships/oleObject" Target="embeddings/oleObject16.bin"/><Relationship Id="rId45" Type="http://schemas.openxmlformats.org/officeDocument/2006/relationships/image" Target="media/image16.wmf"/><Relationship Id="rId44" Type="http://schemas.openxmlformats.org/officeDocument/2006/relationships/oleObject" Target="embeddings/oleObject15.bin"/><Relationship Id="rId43" Type="http://schemas.openxmlformats.org/officeDocument/2006/relationships/image" Target="media/image15.wmf"/><Relationship Id="rId42" Type="http://schemas.openxmlformats.org/officeDocument/2006/relationships/oleObject" Target="embeddings/oleObject14.bin"/><Relationship Id="rId41" Type="http://schemas.openxmlformats.org/officeDocument/2006/relationships/image" Target="media/image14.wmf"/><Relationship Id="rId40" Type="http://schemas.openxmlformats.org/officeDocument/2006/relationships/oleObject" Target="embeddings/oleObject13.bin"/><Relationship Id="rId4" Type="http://schemas.openxmlformats.org/officeDocument/2006/relationships/header" Target="header1.xml"/><Relationship Id="rId39" Type="http://schemas.openxmlformats.org/officeDocument/2006/relationships/image" Target="media/image13.wmf"/><Relationship Id="rId38" Type="http://schemas.openxmlformats.org/officeDocument/2006/relationships/oleObject" Target="embeddings/oleObject12.bin"/><Relationship Id="rId37" Type="http://schemas.openxmlformats.org/officeDocument/2006/relationships/image" Target="media/image12.wmf"/><Relationship Id="rId36" Type="http://schemas.openxmlformats.org/officeDocument/2006/relationships/oleObject" Target="embeddings/oleObject11.bin"/><Relationship Id="rId35" Type="http://schemas.openxmlformats.org/officeDocument/2006/relationships/image" Target="media/image11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0.wmf"/><Relationship Id="rId32" Type="http://schemas.openxmlformats.org/officeDocument/2006/relationships/oleObject" Target="embeddings/oleObject9.bin"/><Relationship Id="rId31" Type="http://schemas.openxmlformats.org/officeDocument/2006/relationships/image" Target="media/image9.wmf"/><Relationship Id="rId30" Type="http://schemas.openxmlformats.org/officeDocument/2006/relationships/oleObject" Target="embeddings/oleObject8.bin"/><Relationship Id="rId3" Type="http://schemas.openxmlformats.org/officeDocument/2006/relationships/footer" Target="footer1.xml"/><Relationship Id="rId29" Type="http://schemas.openxmlformats.org/officeDocument/2006/relationships/image" Target="media/image8.wmf"/><Relationship Id="rId28" Type="http://schemas.openxmlformats.org/officeDocument/2006/relationships/oleObject" Target="embeddings/oleObject7.bin"/><Relationship Id="rId27" Type="http://schemas.openxmlformats.org/officeDocument/2006/relationships/image" Target="media/image7.wmf"/><Relationship Id="rId26" Type="http://schemas.openxmlformats.org/officeDocument/2006/relationships/oleObject" Target="embeddings/oleObject6.bin"/><Relationship Id="rId25" Type="http://schemas.openxmlformats.org/officeDocument/2006/relationships/image" Target="media/image6.wmf"/><Relationship Id="rId24" Type="http://schemas.openxmlformats.org/officeDocument/2006/relationships/oleObject" Target="embeddings/oleObject5.bin"/><Relationship Id="rId23" Type="http://schemas.openxmlformats.org/officeDocument/2006/relationships/image" Target="media/image5.wmf"/><Relationship Id="rId22" Type="http://schemas.openxmlformats.org/officeDocument/2006/relationships/oleObject" Target="embeddings/oleObject4.bin"/><Relationship Id="rId21" Type="http://schemas.openxmlformats.org/officeDocument/2006/relationships/image" Target="media/image4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3.wmf"/><Relationship Id="rId18" Type="http://schemas.openxmlformats.org/officeDocument/2006/relationships/oleObject" Target="embeddings/oleObject2.bin"/><Relationship Id="rId17" Type="http://schemas.openxmlformats.org/officeDocument/2006/relationships/image" Target="media/image2.wmf"/><Relationship Id="rId16" Type="http://schemas.openxmlformats.org/officeDocument/2006/relationships/oleObject" Target="embeddings/oleObject1.bin"/><Relationship Id="rId15" Type="http://schemas.openxmlformats.org/officeDocument/2006/relationships/image" Target="media/image1.png"/><Relationship Id="rId14" Type="http://schemas.openxmlformats.org/officeDocument/2006/relationships/theme" Target="theme/theme1.xml"/><Relationship Id="rId13" Type="http://schemas.openxmlformats.org/officeDocument/2006/relationships/footer" Target="footer7.xml"/><Relationship Id="rId12" Type="http://schemas.openxmlformats.org/officeDocument/2006/relationships/header" Target="header4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中国微软</Company>
  <Pages>15</Pages>
  <Words>4377</Words>
  <Characters>5109</Characters>
  <Lines>56</Lines>
  <Paragraphs>15</Paragraphs>
  <TotalTime>0</TotalTime>
  <ScaleCrop>false</ScaleCrop>
  <LinksUpToDate>false</LinksUpToDate>
  <CharactersWithSpaces>6387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2024-12-09T04:44:00Z</dcterms:created>
  <dc:creator>张杰</dc:creator>
  <cp:lastModifiedBy>依然Mr.沈</cp:lastModifiedBy>
  <cp:lastPrinted>2024-11-21T00:43:00Z</cp:lastPrinted>
  <dcterms:modified xsi:type="dcterms:W3CDTF">2024-12-24T07:40:13Z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uationSection">
    <vt:lpwstr>1</vt:lpwstr>
  </property>
  <property fmtid="{D5CDD505-2E9C-101B-9397-08002B2CF9AE}" pid="4" name="KSOProductBuildVer">
    <vt:lpwstr>2052-12.1.0.19770</vt:lpwstr>
  </property>
  <property fmtid="{D5CDD505-2E9C-101B-9397-08002B2CF9AE}" pid="5" name="ICV">
    <vt:lpwstr>E76FA86D9D3A44D8838F46A66AA2B751_13</vt:lpwstr>
  </property>
</Properties>
</file>